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tabs>
          <w:tab w:leader="none" w:pos="936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23, 2022</w:t>
      </w:r>
      <w:r>
        <w:rPr>
          <w:sz w:val="20"/>
          <w:szCs w:val="20"/>
          <w:color w:val="auto"/>
        </w:rPr>
        <w:tab/>
      </w:r>
      <w:r>
        <w:rPr>
          <w:rFonts w:ascii="Times New Roman" w:cs="Times New Roman" w:eastAsia="Times New Roman" w:hAnsi="Times New Roman"/>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QuantaSing Group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388 Greenwich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East 42nd Street, 18th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10168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Copies to:</w:t>
            </w: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10"/>
        </w:trPr>
        <w:tc>
          <w:tcPr>
            <w:tcW w:w="3880" w:type="dxa"/>
            <w:vAlign w:val="bottom"/>
            <w:gridSpan w:val="5"/>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Dan Ouyang, Esq.</w:t>
            </w:r>
          </w:p>
        </w:tc>
        <w:tc>
          <w:tcPr>
            <w:tcW w:w="1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Herman H. Raspé, Esq.</w:t>
            </w:r>
          </w:p>
        </w:tc>
        <w:tc>
          <w:tcPr>
            <w:tcW w:w="1580" w:type="dxa"/>
            <w:vAlign w:val="bottom"/>
          </w:tcPr>
          <w:p>
            <w:pPr>
              <w:spacing w:after="0"/>
              <w:rPr>
                <w:sz w:val="24"/>
                <w:szCs w:val="24"/>
                <w:color w:val="auto"/>
              </w:rPr>
            </w:pPr>
          </w:p>
        </w:tc>
      </w:tr>
      <w:tr>
        <w:trPr>
          <w:trHeight w:val="216"/>
        </w:trPr>
        <w:tc>
          <w:tcPr>
            <w:tcW w:w="55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Wilson Sonsini Goodrich &amp; Rosati</w:t>
            </w:r>
          </w:p>
        </w:tc>
        <w:tc>
          <w:tcPr>
            <w:tcW w:w="5720" w:type="dxa"/>
            <w:vAlign w:val="bottom"/>
            <w:gridSpan w:val="5"/>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r>
      <w:tr>
        <w:trPr>
          <w:trHeight w:val="216"/>
        </w:trPr>
        <w:tc>
          <w:tcPr>
            <w:tcW w:w="3880" w:type="dxa"/>
            <w:vAlign w:val="bottom"/>
            <w:gridSpan w:val="5"/>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Professional Corporation</w:t>
            </w:r>
          </w:p>
        </w:tc>
        <w:tc>
          <w:tcPr>
            <w:tcW w:w="1640" w:type="dxa"/>
            <w:vAlign w:val="bottom"/>
          </w:tcPr>
          <w:p>
            <w:pPr>
              <w:spacing w:after="0"/>
              <w:rPr>
                <w:sz w:val="18"/>
                <w:szCs w:val="18"/>
                <w:color w:val="auto"/>
              </w:rPr>
            </w:pPr>
          </w:p>
        </w:tc>
        <w:tc>
          <w:tcPr>
            <w:tcW w:w="4140" w:type="dxa"/>
            <w:vAlign w:val="bottom"/>
            <w:gridSpan w:val="4"/>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1580" w:type="dxa"/>
            <w:vAlign w:val="bottom"/>
          </w:tcPr>
          <w:p>
            <w:pPr>
              <w:spacing w:after="0"/>
              <w:rPr>
                <w:sz w:val="18"/>
                <w:szCs w:val="18"/>
                <w:color w:val="auto"/>
              </w:rPr>
            </w:pPr>
          </w:p>
        </w:tc>
      </w:tr>
      <w:tr>
        <w:trPr>
          <w:trHeight w:val="216"/>
        </w:trPr>
        <w:tc>
          <w:tcPr>
            <w:tcW w:w="552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Unit 2901, 29F, Tower C, Beijing Yintai Centre</w:t>
            </w:r>
          </w:p>
        </w:tc>
        <w:tc>
          <w:tcPr>
            <w:tcW w:w="4140" w:type="dxa"/>
            <w:vAlign w:val="bottom"/>
            <w:gridSpan w:val="4"/>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7"/>
              </w:rPr>
              <w:t>New York, New York 10036</w:t>
            </w:r>
          </w:p>
        </w:tc>
        <w:tc>
          <w:tcPr>
            <w:tcW w:w="1580" w:type="dxa"/>
            <w:vAlign w:val="bottom"/>
          </w:tcPr>
          <w:p>
            <w:pPr>
              <w:spacing w:after="0"/>
              <w:rPr>
                <w:sz w:val="18"/>
                <w:szCs w:val="18"/>
                <w:color w:val="auto"/>
              </w:rPr>
            </w:pPr>
          </w:p>
        </w:tc>
      </w:tr>
      <w:tr>
        <w:trPr>
          <w:trHeight w:val="216"/>
        </w:trPr>
        <w:tc>
          <w:tcPr>
            <w:tcW w:w="552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No. 2 Jianguomenwai Avenue</w:t>
            </w:r>
          </w:p>
        </w:tc>
        <w:tc>
          <w:tcPr>
            <w:tcW w:w="1980" w:type="dxa"/>
            <w:vAlign w:val="bottom"/>
          </w:tcPr>
          <w:p>
            <w:pPr>
              <w:spacing w:after="0"/>
              <w:rPr>
                <w:sz w:val="18"/>
                <w:szCs w:val="18"/>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(212) 336-2301</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55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Chaoyang District, Beijing 100022</w:t>
            </w: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880" w:type="dxa"/>
            <w:vAlign w:val="bottom"/>
            <w:gridSpan w:val="5"/>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People’s Republic of China</w:t>
            </w:r>
          </w:p>
        </w:tc>
        <w:tc>
          <w:tcPr>
            <w:tcW w:w="1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8"/>
        </w:trPr>
        <w:tc>
          <w:tcPr>
            <w:tcW w:w="3780" w:type="dxa"/>
            <w:vAlign w:val="bottom"/>
            <w:gridSpan w:val="4"/>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(86) 10-6529-8300</w:t>
            </w: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19"/>
        </w:trPr>
        <w:tc>
          <w:tcPr>
            <w:tcW w:w="5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4140" w:type="dxa"/>
            <w:vAlign w:val="bottom"/>
            <w:gridSpan w:val="4"/>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580" w:type="dxa"/>
            <w:vAlign w:val="bottom"/>
          </w:tcPr>
          <w:p>
            <w:pPr>
              <w:spacing w:after="0"/>
              <w:rPr>
                <w:sz w:val="24"/>
                <w:szCs w:val="24"/>
                <w:color w:val="auto"/>
              </w:rPr>
            </w:pPr>
          </w:p>
        </w:tc>
      </w:tr>
      <w:tr>
        <w:trPr>
          <w:trHeight w:val="283"/>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140" w:type="dxa"/>
            <w:vAlign w:val="bottom"/>
            <w:gridSpan w:val="4"/>
          </w:tcPr>
          <w:p>
            <w:pPr>
              <w:ind w:left="4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580" w:type="dxa"/>
            <w:vAlign w:val="bottom"/>
          </w:tcPr>
          <w:p>
            <w:pPr>
              <w:spacing w:after="0"/>
              <w:rPr>
                <w:sz w:val="24"/>
                <w:szCs w:val="24"/>
                <w:color w:val="auto"/>
              </w:rPr>
            </w:pPr>
          </w:p>
        </w:tc>
      </w:tr>
      <w:tr>
        <w:trPr>
          <w:trHeight w:val="432"/>
        </w:trPr>
        <w:tc>
          <w:tcPr>
            <w:tcW w:w="9660" w:type="dxa"/>
            <w:vAlign w:val="bottom"/>
            <w:gridSpan w:val="10"/>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r>
      <w:tr>
        <w:trPr>
          <w:trHeight w:val="209"/>
        </w:trPr>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52"/>
        </w:trPr>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2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91"/>
        </w:trPr>
        <w:tc>
          <w:tcPr>
            <w:tcW w:w="3780" w:type="dxa"/>
            <w:vAlign w:val="bottom"/>
            <w:tcBorders>
              <w:right w:val="single" w:sz="8" w:color="auto"/>
            </w:tcBorders>
            <w:gridSpan w:val="4"/>
          </w:tcPr>
          <w:p>
            <w:pPr>
              <w:ind w:left="1100"/>
              <w:spacing w:after="0" w:line="191" w:lineRule="exact"/>
              <w:rPr>
                <w:sz w:val="20"/>
                <w:szCs w:val="20"/>
                <w:color w:val="auto"/>
              </w:rPr>
            </w:pPr>
            <w:r>
              <w:rPr>
                <w:rFonts w:ascii="Times New Roman" w:cs="Times New Roman" w:eastAsia="Times New Roman" w:hAnsi="Times New Roman"/>
                <w:sz w:val="18"/>
                <w:szCs w:val="18"/>
                <w:color w:val="auto"/>
              </w:rPr>
              <w:t>Title of Each Class of</w:t>
            </w:r>
          </w:p>
        </w:tc>
        <w:tc>
          <w:tcPr>
            <w:tcW w:w="100" w:type="dxa"/>
            <w:vAlign w:val="bottom"/>
          </w:tcPr>
          <w:p>
            <w:pPr>
              <w:spacing w:after="0"/>
              <w:rPr>
                <w:sz w:val="16"/>
                <w:szCs w:val="16"/>
                <w:color w:val="auto"/>
              </w:rPr>
            </w:pPr>
          </w:p>
        </w:tc>
        <w:tc>
          <w:tcPr>
            <w:tcW w:w="1640" w:type="dxa"/>
            <w:vAlign w:val="bottom"/>
            <w:tcBorders>
              <w:right w:val="single" w:sz="8" w:color="auto"/>
            </w:tcBorders>
          </w:tcPr>
          <w:p>
            <w:pPr>
              <w:jc w:val="center"/>
              <w:ind w:right="30"/>
              <w:spacing w:after="0" w:line="191" w:lineRule="exact"/>
              <w:rPr>
                <w:sz w:val="20"/>
                <w:szCs w:val="20"/>
                <w:color w:val="auto"/>
              </w:rPr>
            </w:pPr>
            <w:r>
              <w:rPr>
                <w:rFonts w:ascii="Times New Roman" w:cs="Times New Roman" w:eastAsia="Times New Roman" w:hAnsi="Times New Roman"/>
                <w:sz w:val="18"/>
                <w:szCs w:val="18"/>
                <w:color w:val="auto"/>
              </w:rPr>
              <w:t>Amount to be</w:t>
            </w:r>
          </w:p>
        </w:tc>
        <w:tc>
          <w:tcPr>
            <w:tcW w:w="19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Proposed Maximum</w:t>
            </w:r>
          </w:p>
        </w:tc>
        <w:tc>
          <w:tcPr>
            <w:tcW w:w="2000" w:type="dxa"/>
            <w:vAlign w:val="bottom"/>
            <w:tcBorders>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60" w:type="dxa"/>
            <w:vAlign w:val="bottom"/>
          </w:tcPr>
          <w:p>
            <w:pPr>
              <w:spacing w:after="0"/>
              <w:rPr>
                <w:sz w:val="16"/>
                <w:szCs w:val="16"/>
                <w:color w:val="auto"/>
              </w:rPr>
            </w:pPr>
          </w:p>
        </w:tc>
        <w:tc>
          <w:tcPr>
            <w:tcW w:w="158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r>
      <w:tr>
        <w:trPr>
          <w:trHeight w:val="216"/>
        </w:trPr>
        <w:tc>
          <w:tcPr>
            <w:tcW w:w="3780" w:type="dxa"/>
            <w:vAlign w:val="bottom"/>
            <w:tcBorders>
              <w:right w:val="single" w:sz="8" w:color="auto"/>
            </w:tcBorders>
            <w:gridSpan w:val="4"/>
          </w:tcPr>
          <w:p>
            <w:pPr>
              <w:ind w:left="920"/>
              <w:spacing w:after="0"/>
              <w:rPr>
                <w:sz w:val="20"/>
                <w:szCs w:val="20"/>
                <w:color w:val="auto"/>
              </w:rPr>
            </w:pPr>
            <w:r>
              <w:rPr>
                <w:rFonts w:ascii="Times New Roman" w:cs="Times New Roman" w:eastAsia="Times New Roman" w:hAnsi="Times New Roman"/>
                <w:sz w:val="18"/>
                <w:szCs w:val="18"/>
                <w:color w:val="auto"/>
              </w:rPr>
              <w:t>Securities to be Registered</w:t>
            </w:r>
          </w:p>
        </w:tc>
        <w:tc>
          <w:tcPr>
            <w:tcW w:w="100" w:type="dxa"/>
            <w:vAlign w:val="bottom"/>
          </w:tcPr>
          <w:p>
            <w:pPr>
              <w:spacing w:after="0"/>
              <w:rPr>
                <w:sz w:val="18"/>
                <w:szCs w:val="18"/>
                <w:color w:val="auto"/>
              </w:rPr>
            </w:pPr>
          </w:p>
        </w:tc>
        <w:tc>
          <w:tcPr>
            <w:tcW w:w="164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Registered</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 Price Per Unit*</w:t>
            </w:r>
          </w:p>
        </w:tc>
        <w:tc>
          <w:tcPr>
            <w:tcW w:w="200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Aggregate Offering</w:t>
            </w:r>
          </w:p>
        </w:tc>
        <w:tc>
          <w:tcPr>
            <w:tcW w:w="16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Registration Fee</w:t>
            </w:r>
          </w:p>
        </w:tc>
      </w:tr>
      <w:tr>
        <w:trPr>
          <w:trHeight w:val="234"/>
        </w:trPr>
        <w:tc>
          <w:tcPr>
            <w:tcW w:w="22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Price**</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69"/>
        </w:trPr>
        <w:tc>
          <w:tcPr>
            <w:tcW w:w="3780" w:type="dxa"/>
            <w:vAlign w:val="bottom"/>
            <w:tcBorders>
              <w:right w:val="single" w:sz="8" w:color="auto"/>
            </w:tcBorders>
            <w:gridSpan w:val="4"/>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w:t>
            </w:r>
          </w:p>
        </w:tc>
        <w:tc>
          <w:tcPr>
            <w:tcW w:w="100" w:type="dxa"/>
            <w:vAlign w:val="bottom"/>
          </w:tcPr>
          <w:p>
            <w:pPr>
              <w:spacing w:after="0"/>
              <w:rPr>
                <w:sz w:val="14"/>
                <w:szCs w:val="14"/>
                <w:color w:val="auto"/>
              </w:rPr>
            </w:pPr>
          </w:p>
        </w:tc>
        <w:tc>
          <w:tcPr>
            <w:tcW w:w="1640" w:type="dxa"/>
            <w:vAlign w:val="bottom"/>
            <w:tcBorders>
              <w:right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200,000,000 ADSs</w:t>
            </w:r>
          </w:p>
        </w:tc>
        <w:tc>
          <w:tcPr>
            <w:tcW w:w="19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$5.00</w:t>
            </w:r>
          </w:p>
        </w:tc>
        <w:tc>
          <w:tcPr>
            <w:tcW w:w="2000" w:type="dxa"/>
            <w:vAlign w:val="bottom"/>
            <w:tcBorders>
              <w:right w:val="single" w:sz="8" w:color="auto"/>
            </w:tcBorders>
            <w:gridSpan w:val="2"/>
          </w:tcPr>
          <w:p>
            <w:pPr>
              <w:jc w:val="center"/>
              <w:ind w:right="40"/>
              <w:spacing w:after="0" w:line="169" w:lineRule="exact"/>
              <w:rPr>
                <w:sz w:val="20"/>
                <w:szCs w:val="20"/>
                <w:color w:val="auto"/>
              </w:rPr>
            </w:pPr>
            <w:r>
              <w:rPr>
                <w:rFonts w:ascii="Times New Roman" w:cs="Times New Roman" w:eastAsia="Times New Roman" w:hAnsi="Times New Roman"/>
                <w:sz w:val="18"/>
                <w:szCs w:val="18"/>
                <w:color w:val="auto"/>
                <w:w w:val="99"/>
              </w:rPr>
              <w:t>$10,000,000.00</w:t>
            </w:r>
          </w:p>
        </w:tc>
        <w:tc>
          <w:tcPr>
            <w:tcW w:w="160" w:type="dxa"/>
            <w:vAlign w:val="bottom"/>
          </w:tcPr>
          <w:p>
            <w:pPr>
              <w:spacing w:after="0"/>
              <w:rPr>
                <w:sz w:val="14"/>
                <w:szCs w:val="14"/>
                <w:color w:val="auto"/>
              </w:rPr>
            </w:pPr>
          </w:p>
        </w:tc>
        <w:tc>
          <w:tcPr>
            <w:tcW w:w="158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$1,102.00</w:t>
            </w:r>
          </w:p>
        </w:tc>
      </w:tr>
      <w:tr>
        <w:trPr>
          <w:trHeight w:val="20"/>
        </w:trPr>
        <w:tc>
          <w:tcPr>
            <w:tcW w:w="2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right w:val="single" w:sz="8" w:color="auto"/>
            </w:tcBorders>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8"/>
        </w:trPr>
        <w:tc>
          <w:tcPr>
            <w:tcW w:w="37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ADS representing the right to receive the number of</w:t>
            </w:r>
          </w:p>
        </w:tc>
        <w:tc>
          <w:tcPr>
            <w:tcW w:w="10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37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Class A Ordinary Shares of QuantaSing Group</w:t>
            </w:r>
          </w:p>
        </w:tc>
        <w:tc>
          <w:tcPr>
            <w:tcW w:w="100" w:type="dxa"/>
            <w:vAlign w:val="bottom"/>
          </w:tcPr>
          <w:p>
            <w:pPr>
              <w:spacing w:after="0"/>
              <w:rPr>
                <w:sz w:val="18"/>
                <w:szCs w:val="18"/>
                <w:color w:val="auto"/>
              </w:rPr>
            </w:pPr>
          </w:p>
        </w:tc>
        <w:tc>
          <w:tcPr>
            <w:tcW w:w="164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378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Limited to be specified in the Deposit Agreement</w:t>
            </w:r>
          </w:p>
        </w:tc>
        <w:tc>
          <w:tcPr>
            <w:tcW w:w="100" w:type="dxa"/>
            <w:vAlign w:val="bottom"/>
          </w:tcPr>
          <w:p>
            <w:pPr>
              <w:spacing w:after="0"/>
              <w:rPr>
                <w:sz w:val="20"/>
                <w:szCs w:val="20"/>
                <w:color w:val="auto"/>
              </w:rPr>
            </w:pPr>
          </w:p>
        </w:tc>
        <w:tc>
          <w:tcPr>
            <w:tcW w:w="164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31"/>
        </w:trPr>
        <w:tc>
          <w:tcPr>
            <w:tcW w:w="2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tcPr>
          <w:p>
            <w:pPr>
              <w:spacing w:after="0"/>
              <w:rPr>
                <w:sz w:val="11"/>
                <w:szCs w:val="11"/>
                <w:color w:val="auto"/>
              </w:rPr>
            </w:pPr>
          </w:p>
        </w:tc>
      </w:tr>
    </w:tbl>
    <w:p>
      <w:pPr>
        <w:sectPr>
          <w:pgSz w:w="11900" w:h="16900" w:orient="portrait"/>
          <w:cols w:equalWidth="0" w:num="1">
            <w:col w:w="11240"/>
          </w:cols>
          <w:pgMar w:left="320" w:top="468" w:right="339" w:bottom="0" w:gutter="0" w:footer="0" w:header="0"/>
        </w:sectPr>
      </w:pPr>
    </w:p>
    <w:bookmarkStart w:id="1" w:name="page2"/>
    <w:bookmarkEnd w:id="1"/>
    <w:p>
      <w:pPr>
        <w:spacing w:after="0"/>
        <w:tabs>
          <w:tab w:leader="none" w:pos="2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t>*</w:t>
      </w:r>
      <w:r>
        <w:rPr>
          <w:sz w:val="20"/>
          <w:szCs w:val="20"/>
          <w:color w:val="auto"/>
        </w:rPr>
        <w:tab/>
      </w:r>
      <w:r>
        <w:rPr>
          <w:rFonts w:ascii="Times New Roman" w:cs="Times New Roman" w:eastAsia="Times New Roman" w:hAnsi="Times New Roman"/>
          <w:sz w:val="17"/>
          <w:szCs w:val="17"/>
          <w:color w:val="auto"/>
        </w:rPr>
        <w:t>Each unit represents 100 ADSs.</w:t>
      </w:r>
    </w:p>
    <w:p>
      <w:pPr>
        <w:spacing w:after="0" w:line="27" w:lineRule="exact"/>
        <w:rPr>
          <w:sz w:val="20"/>
          <w:szCs w:val="20"/>
          <w:color w:val="auto"/>
        </w:rPr>
      </w:pPr>
    </w:p>
    <w:p>
      <w:pPr>
        <w:ind w:left="280" w:hanging="275"/>
        <w:spacing w:after="0" w:line="260" w:lineRule="auto"/>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280"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357505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00" w:top="351" w:right="639" w:bottom="1440" w:gutter="0" w:footer="0" w:header="0"/>
        </w:sectPr>
      </w:pPr>
    </w:p>
    <w:bookmarkStart w:id="2" w:name="page3"/>
    <w:bookmarkEnd w:id="2"/>
    <w:p>
      <w:pPr>
        <w:ind w:left="180" w:right="199"/>
        <w:spacing w:after="0" w:line="282" w:lineRule="auto"/>
        <w:rPr>
          <w:sz w:val="20"/>
          <w:szCs w:val="20"/>
          <w:color w:val="auto"/>
        </w:rPr>
      </w:pPr>
      <w:r>
        <w:rPr>
          <w:rFonts w:ascii="Times New Roman" w:cs="Times New Roman" w:eastAsia="Times New Roman" w:hAnsi="Times New Roman"/>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012" w:right="1440" w:bottom="1440" w:gutter="0" w:footer="0" w:header="0"/>
        </w:sectPr>
      </w:pPr>
    </w:p>
    <w:bookmarkStart w:id="3" w:name="page4"/>
    <w:bookmarkEnd w:id="3"/>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INFORMATION REQUIRED IN PROSPECTUS</w:t>
      </w:r>
    </w:p>
    <w:p>
      <w:pPr>
        <w:spacing w:after="0" w:line="23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Cross Reference Sheet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SECURITIES TO BE REGISTERED</w:t>
      </w:r>
    </w:p>
    <w:p>
      <w:pPr>
        <w:sectPr>
          <w:pgSz w:w="11900" w:h="16838" w:orient="portrait"/>
          <w:cols w:equalWidth="0" w:num="1">
            <w:col w:w="10760"/>
          </w:cols>
          <w:pgMar w:left="320" w:top="79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Number and Caption</w:t>
      </w:r>
    </w:p>
    <w:p>
      <w:pPr>
        <w:spacing w:after="0" w:line="229"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Depositary and address of its principal executive office</w:t>
      </w:r>
    </w:p>
    <w:p>
      <w:pPr>
        <w:spacing w:after="0" w:line="225"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Receipts and identity of deposited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1140" w:right="44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deposited securities represented by one American Depositary Share (“ADSs”)</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 for voting, if any, the deposited securities</w:t>
      </w:r>
    </w:p>
    <w:p>
      <w:pPr>
        <w:spacing w:after="0" w:line="225"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distribution of dividends</w:t>
      </w:r>
    </w:p>
    <w:p>
      <w:pPr>
        <w:spacing w:after="0" w:line="225" w:lineRule="exact"/>
        <w:rPr>
          <w:rFonts w:ascii="Times New Roman" w:cs="Times New Roman" w:eastAsia="Times New Roman" w:hAnsi="Times New Roman"/>
          <w:sz w:val="18"/>
          <w:szCs w:val="18"/>
          <w:color w:val="auto"/>
        </w:rPr>
      </w:pPr>
    </w:p>
    <w:p>
      <w:pPr>
        <w:ind w:left="1140" w:right="30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 of notices, reports and proxy soliciting material</w:t>
      </w:r>
    </w:p>
    <w:p>
      <w:pPr>
        <w:spacing w:after="0" w:line="161" w:lineRule="exact"/>
        <w:rPr>
          <w:rFonts w:ascii="Times New Roman" w:cs="Times New Roman" w:eastAsia="Times New Roman" w:hAnsi="Times New Roman"/>
          <w:sz w:val="18"/>
          <w:szCs w:val="18"/>
          <w:color w:val="auto"/>
        </w:rPr>
      </w:pPr>
    </w:p>
    <w:p>
      <w:pPr>
        <w:ind w:left="1140" w:hanging="56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exercise of rights</w:t>
      </w:r>
    </w:p>
    <w:p>
      <w:pPr>
        <w:spacing w:after="0" w:line="225" w:lineRule="exact"/>
        <w:rPr>
          <w:rFonts w:ascii="Times New Roman" w:cs="Times New Roman" w:eastAsia="Times New Roman" w:hAnsi="Times New Roman"/>
          <w:sz w:val="18"/>
          <w:szCs w:val="18"/>
          <w:color w:val="auto"/>
        </w:rPr>
      </w:pPr>
    </w:p>
    <w:p>
      <w:pPr>
        <w:ind w:left="1140" w:right="22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 or sale of securities resulting from dividends, splits or plans of reorganization</w:t>
      </w:r>
    </w:p>
    <w:p>
      <w:pPr>
        <w:spacing w:after="0" w:line="161" w:lineRule="exact"/>
        <w:rPr>
          <w:rFonts w:ascii="Times New Roman" w:cs="Times New Roman" w:eastAsia="Times New Roman" w:hAnsi="Times New Roman"/>
          <w:sz w:val="18"/>
          <w:szCs w:val="18"/>
          <w:color w:val="auto"/>
        </w:rPr>
      </w:pPr>
    </w:p>
    <w:p>
      <w:pPr>
        <w:ind w:left="1140" w:right="60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extension or termination of the deposit agreement</w:t>
      </w:r>
    </w:p>
    <w:p>
      <w:pPr>
        <w:spacing w:after="0" w:line="161" w:lineRule="exact"/>
        <w:rPr>
          <w:rFonts w:ascii="Times New Roman" w:cs="Times New Roman" w:eastAsia="Times New Roman" w:hAnsi="Times New Roman"/>
          <w:sz w:val="18"/>
          <w:szCs w:val="18"/>
          <w:color w:val="auto"/>
        </w:rPr>
      </w:pPr>
    </w:p>
    <w:p>
      <w:pPr>
        <w:ind w:left="114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holders of Receipts to inspect the transfer books of the Depositary and the list of holders of ADSs</w:t>
      </w:r>
    </w:p>
    <w:p>
      <w:pPr>
        <w:spacing w:after="0" w:line="161" w:lineRule="exact"/>
        <w:rPr>
          <w:rFonts w:ascii="Times New Roman" w:cs="Times New Roman" w:eastAsia="Times New Roman" w:hAnsi="Times New Roman"/>
          <w:sz w:val="18"/>
          <w:szCs w:val="18"/>
          <w:color w:val="auto"/>
        </w:rPr>
      </w:pPr>
    </w:p>
    <w:p>
      <w:pPr>
        <w:ind w:left="1140" w:right="500" w:hanging="565"/>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upon the right to deposit or withdraw the underlying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Receipt (“</w:t>
      </w:r>
      <w:r>
        <w:rPr>
          <w:rFonts w:ascii="Times New Roman" w:cs="Times New Roman" w:eastAsia="Times New Roman" w:hAnsi="Times New Roman"/>
          <w:sz w:val="18"/>
          <w:szCs w:val="18"/>
          <w:b w:val="1"/>
          <w:bCs w:val="1"/>
          <w:u w:val="single" w:color="auto"/>
          <w:color w:val="auto"/>
        </w:rPr>
        <w:t>Receipt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Filed Herewith as Prospectus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Introductory Article.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Top Center.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(17) and (18).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 (15).</w:t>
      </w:r>
    </w:p>
    <w:p>
      <w:pPr>
        <w:spacing w:after="0" w:line="225" w:lineRule="exact"/>
        <w:rPr>
          <w:sz w:val="20"/>
          <w:szCs w:val="20"/>
          <w:color w:val="auto"/>
        </w:rPr>
      </w:pPr>
    </w:p>
    <w:p>
      <w:pPr>
        <w:ind w:right="194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 (14);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 (18).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(15) and (17).</w:t>
      </w:r>
    </w:p>
    <w:p>
      <w:pPr>
        <w:spacing w:after="0" w:line="225" w:lineRule="exact"/>
        <w:rPr>
          <w:sz w:val="20"/>
          <w:szCs w:val="20"/>
          <w:color w:val="auto"/>
        </w:rPr>
      </w:pPr>
    </w:p>
    <w:p>
      <w:pPr>
        <w:ind w:right="1220"/>
        <w:spacing w:after="0" w:line="312" w:lineRule="auto"/>
        <w:rPr>
          <w:sz w:val="20"/>
          <w:szCs w:val="20"/>
          <w:color w:val="auto"/>
        </w:rPr>
      </w:pPr>
      <w:r>
        <w:rPr>
          <w:rFonts w:ascii="Times New Roman" w:cs="Times New Roman" w:eastAsia="Times New Roman" w:hAnsi="Times New Roman"/>
          <w:sz w:val="17"/>
          <w:szCs w:val="17"/>
          <w:u w:val="single" w:color="auto"/>
          <w:color w:val="auto"/>
        </w:rPr>
        <w:t>Face of Receipt</w:t>
      </w:r>
      <w:r>
        <w:rPr>
          <w:rFonts w:ascii="Times New Roman" w:cs="Times New Roman" w:eastAsia="Times New Roman" w:hAnsi="Times New Roman"/>
          <w:sz w:val="17"/>
          <w:szCs w:val="17"/>
          <w:color w:val="auto"/>
        </w:rPr>
        <w:t xml:space="preserve"> - Paragraphs (3) and (6); </w:t>
      </w:r>
      <w:r>
        <w:rPr>
          <w:rFonts w:ascii="Times New Roman" w:cs="Times New Roman" w:eastAsia="Times New Roman" w:hAnsi="Times New Roman"/>
          <w:sz w:val="17"/>
          <w:szCs w:val="17"/>
          <w:u w:val="single" w:color="auto"/>
          <w:color w:val="auto"/>
        </w:rPr>
        <w:t>Reverse of Receipt</w:t>
      </w:r>
      <w:r>
        <w:rPr>
          <w:rFonts w:ascii="Times New Roman" w:cs="Times New Roman" w:eastAsia="Times New Roman" w:hAnsi="Times New Roman"/>
          <w:sz w:val="17"/>
          <w:szCs w:val="17"/>
          <w:color w:val="auto"/>
        </w:rPr>
        <w:t xml:space="preserve"> - Paragraphs (15) and (17).</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Reverse of Receipt</w:t>
      </w:r>
      <w:r>
        <w:rPr>
          <w:rFonts w:ascii="Times New Roman" w:cs="Times New Roman" w:eastAsia="Times New Roman" w:hAnsi="Times New Roman"/>
          <w:sz w:val="18"/>
          <w:szCs w:val="18"/>
          <w:color w:val="auto"/>
        </w:rPr>
        <w:t xml:space="preserve"> - Paragraphs (23) and (24) (no provision for extensions).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 (14).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Face of Receipt</w:t>
      </w:r>
      <w:r>
        <w:rPr>
          <w:rFonts w:ascii="Times New Roman" w:cs="Times New Roman" w:eastAsia="Times New Roman" w:hAnsi="Times New Roman"/>
          <w:sz w:val="18"/>
          <w:szCs w:val="18"/>
          <w:color w:val="auto"/>
        </w:rPr>
        <w:t xml:space="preserve"> – Paragraphs (2), (3), (4), (6), (7), (9) and (10).</w:t>
      </w:r>
    </w:p>
    <w:p>
      <w:pPr>
        <w:spacing w:after="0" w:line="479" w:lineRule="exact"/>
        <w:rPr>
          <w:sz w:val="20"/>
          <w:szCs w:val="20"/>
          <w:color w:val="auto"/>
        </w:rPr>
      </w:pPr>
    </w:p>
    <w:p>
      <w:pPr>
        <w:sectPr>
          <w:pgSz w:w="11900" w:h="16838" w:orient="portrait"/>
          <w:cols w:equalWidth="0" w:num="2">
            <w:col w:w="5500" w:space="700"/>
            <w:col w:w="4560"/>
          </w:cols>
          <w:pgMar w:left="320" w:top="792" w:right="819" w:bottom="1440" w:gutter="0" w:footer="0" w:header="0"/>
          <w:type w:val="continuous"/>
        </w:sectPr>
      </w:pPr>
    </w:p>
    <w:p>
      <w:pPr>
        <w:spacing w:after="0" w:line="8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60"/>
          </w:cols>
          <w:pgMar w:left="320" w:top="792" w:right="8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334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Receipt (“Receipt”)</w:t>
            </w:r>
          </w:p>
        </w:tc>
        <w:tc>
          <w:tcPr>
            <w:tcW w:w="0" w:type="dxa"/>
            <w:vAlign w:val="bottom"/>
          </w:tcPr>
          <w:p>
            <w:pPr>
              <w:spacing w:after="0"/>
              <w:rPr>
                <w:sz w:val="1"/>
                <w:szCs w:val="1"/>
                <w:color w:val="auto"/>
              </w:rPr>
            </w:pPr>
          </w:p>
        </w:tc>
      </w:tr>
      <w:tr>
        <w:trPr>
          <w:trHeight w:val="20"/>
        </w:trPr>
        <w:tc>
          <w:tcPr>
            <w:tcW w:w="2060" w:type="dxa"/>
            <w:vAlign w:val="bottom"/>
            <w:gridSpan w:val="3"/>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w w:val="98"/>
              </w:rPr>
              <w:t>Reverse of Receipt - Paragraphs (20) and (21).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00" w:type="dxa"/>
            <w:vAlign w:val="bottom"/>
          </w:tcPr>
          <w:p>
            <w:pPr>
              <w:spacing w:after="0"/>
              <w:rPr>
                <w:sz w:val="24"/>
                <w:szCs w:val="24"/>
                <w:color w:val="auto"/>
              </w:rPr>
            </w:pPr>
          </w:p>
        </w:tc>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3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300" w:hanging="644"/>
        <w:spacing w:after="0" w:line="218"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Deposit Agreement, by and among QuantaSing Group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as Exhibit (a).</w:t>
      </w:r>
    </w:p>
    <w:p>
      <w:pPr>
        <w:spacing w:after="0" w:line="205"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Filed herewith as Exhibit (d).</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8" w:lineRule="exact"/>
        <w:rPr>
          <w:rFonts w:ascii="Times New Roman" w:cs="Times New Roman" w:eastAsia="Times New Roman" w:hAnsi="Times New Roman"/>
          <w:sz w:val="36"/>
          <w:szCs w:val="36"/>
          <w:color w:val="auto"/>
          <w:vertAlign w:val="superscript"/>
        </w:rPr>
      </w:pPr>
    </w:p>
    <w:p>
      <w:pPr>
        <w:ind w:left="1300" w:hanging="644"/>
        <w:spacing w:after="0" w:line="188" w:lineRule="auto"/>
        <w:tabs>
          <w:tab w:leader="none" w:pos="130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Set forth on the signature pages hereto.</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Deposit Agreement, by and among QuantaSing Group Limited, Citibank, N.A., as depositary, and all Holders and Beneficial Owners from time to time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23rd day of December 2022.</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 the American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Shares registered hereunder are to be issued, each American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 representing the right to receive the number of Class 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Ordinary Shares of QuantaSing Group Limited to be specified in the Deposit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solely in its capacity as Depositary</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QuantaSing Group Limited certifies that it has reasonable grounds to believe that all the requirements for filing on Form F-6 are met and has duly caused this Registration Statement on Form F-6 to be signed on its behalf by the undersigned thereunto duly authorized, in Beijing, China on December 23, 2022.</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Peng Li</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signature appears below constitutes and appoints any of Peng Li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Dong Xie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F-6 has been signed by the following persons in the following capacities on December 23,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53"/>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Peng Li</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Peng Li</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Jinshan Li</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 and Chief Technology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Jinshan Li</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Frank Lin</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Lin</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Yu Cui</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 Cui</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Dong Xie</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 Xie</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4"/>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Xihao Liu</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 and Vice President</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Xihao Liu</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549"/>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II-5</w:t>
            </w: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6(a) of the Securities Act of 1933, the undersigned has signed this Registration Statement, solely in its capacity as the duly authorized representative of QuantaSing Group Limited, in New York on December 23,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2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17145</wp:posOffset>
            </wp:positionV>
            <wp:extent cx="2802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Title: Senior Vice-President on behalf of Cogency Global</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2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2940" w:type="dxa"/>
            <w:vAlign w:val="bottom"/>
            <w:gridSpan w:val="2"/>
          </w:tcPr>
          <w:p>
            <w:pPr>
              <w:ind w:left="17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t>
            </w: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Opinion of counsel to the Depositary</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783"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HOLDERS AND BENEFICIAL OWNERS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9320" w:type="dxa"/>
            <w:vAlign w:val="bottom"/>
          </w:tcPr>
          <w:p>
            <w:pPr>
              <w:ind w:left="3360"/>
              <w:spacing w:after="0"/>
              <w:rPr>
                <w:sz w:val="20"/>
                <w:szCs w:val="20"/>
                <w:color w:val="auto"/>
              </w:rPr>
            </w:pPr>
            <w:r>
              <w:rPr>
                <w:rFonts w:ascii="Times New Roman" w:cs="Times New Roman" w:eastAsia="Times New Roman" w:hAnsi="Times New Roman"/>
                <w:sz w:val="18"/>
                <w:szCs w:val="18"/>
                <w:color w:val="auto"/>
              </w:rPr>
              <w:t>TABLE OF CONTENTS</w:t>
            </w:r>
          </w:p>
        </w:tc>
        <w:tc>
          <w:tcPr>
            <w:tcW w:w="560" w:type="dxa"/>
            <w:vAlign w:val="bottom"/>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9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DEFINITIONS</w:t>
            </w:r>
          </w:p>
        </w:tc>
        <w:tc>
          <w:tcPr>
            <w:tcW w:w="9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“ADS Record Date”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“Affiliate”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1.5</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“Articles of Association”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1.6</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“Beneficial Owner”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1.7</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“Certificated ADS(s)”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1.8</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“Citibank”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1.9</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“Commission”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1.11</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“Custodian”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1.12</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“Deliver” and “Delivery”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1.13</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 Agreement”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1.14</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“Depositary”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1.15</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“Deposited Property”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1.16</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1.17</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“Dollars” and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1.18</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“DTC”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1.19</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“DTC Participant”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1.20</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“Exchange Act”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1.21</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1.22</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1.23</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“Holder(s)”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1.24</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1.25</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Office”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1.26</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“Registrar”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1.27</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Securities”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1.28</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1.29</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Act”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 Registrar”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1.32</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“Uncertificated ADS(s)”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1.33</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and “U.S.”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6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w:t>
            </w:r>
          </w:p>
        </w:tc>
        <w:tc>
          <w:tcPr>
            <w:tcW w:w="9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98"/>
        </w:trPr>
        <w:tc>
          <w:tcPr>
            <w:tcW w:w="10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 DEPOSIT OF SHARES; EXECUTION AND DELIVERY, TRANSFER AND</w:t>
            </w:r>
          </w:p>
        </w:tc>
        <w:tc>
          <w:tcPr>
            <w:tcW w:w="5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w:t>
            </w:r>
          </w:p>
        </w:tc>
      </w:tr>
      <w:tr>
        <w:trPr>
          <w:trHeight w:val="23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SURRENDER OF RECEIPTS</w:t>
            </w:r>
          </w:p>
        </w:tc>
        <w:tc>
          <w:tcPr>
            <w:tcW w:w="560" w:type="dxa"/>
            <w:vAlign w:val="bottom"/>
          </w:tcPr>
          <w:p>
            <w:pPr>
              <w:spacing w:after="0"/>
              <w:rPr>
                <w:sz w:val="20"/>
                <w:szCs w:val="20"/>
                <w:color w:val="auto"/>
              </w:rPr>
            </w:pPr>
          </w:p>
        </w:tc>
      </w:tr>
      <w:tr>
        <w:trPr>
          <w:trHeight w:val="216"/>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9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Deposit of Shares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ADSs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2.9</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Lost ADRs, etc</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Escheatment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Partial Entitlement ADSs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2.13</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2.14</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ADSs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4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6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OBLIGATIONS OF HOLDERS AND BENEFICIAL OWNERS OF ADSs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3.1</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3.2</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3.3</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3.4</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3.5</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Ownership Restrictions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3.6</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w:t>
            </w:r>
          </w:p>
        </w:tc>
        <w:tc>
          <w:tcPr>
            <w:tcW w:w="8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DEPOSITED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Distributions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in Shares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4.3</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4.4</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4.5</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4.6</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4.7</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4.8</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4.9</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4.10</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4.11</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4.12</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 Information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4.13</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Reports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4.14</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List of Holders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4.15</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Taxation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4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w:t>
            </w:r>
          </w:p>
        </w:tc>
        <w:tc>
          <w:tcPr>
            <w:tcW w:w="8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8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Exoneration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Standard of Care</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Custodian</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 and Reports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ADS Fees and Charges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7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9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6.1</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Amendment/Supplement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6.2</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Termination</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54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77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Counterparts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7.2</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7.3</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7.4</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7.5</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7.6</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7.7</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Assignment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7.8</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7.9</w:t>
            </w: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Cayman Islands Law References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Titles and References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7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540" w:type="dxa"/>
            <w:vAlign w:val="bottom"/>
            <w:shd w:val="clear" w:color="auto" w:fill="CCEEFF"/>
          </w:tcPr>
          <w:p>
            <w:pPr>
              <w:spacing w:after="0"/>
              <w:rPr>
                <w:sz w:val="18"/>
                <w:szCs w:val="18"/>
                <w:color w:val="auto"/>
              </w:rPr>
            </w:pPr>
          </w:p>
        </w:tc>
        <w:tc>
          <w:tcPr>
            <w:tcW w:w="7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 of ADR.</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34"/>
        </w:trPr>
        <w:tc>
          <w:tcPr>
            <w:tcW w:w="1540" w:type="dxa"/>
            <w:vAlign w:val="bottom"/>
          </w:tcPr>
          <w:p>
            <w:pPr>
              <w:spacing w:after="0"/>
              <w:rPr>
                <w:sz w:val="20"/>
                <w:szCs w:val="20"/>
                <w:color w:val="auto"/>
              </w:rPr>
            </w:pPr>
          </w:p>
        </w:tc>
        <w:tc>
          <w:tcPr>
            <w:tcW w:w="7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 Schedule.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bl>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 by and among (i) QUANTASING GROUP LIMITED, an exempted company incorporated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liability under the laws of the Cayman Islands,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ADR facility to provide for the deposit of the Shares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given to such term in Section 4.9.</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 “</w:t>
      </w:r>
      <w:r>
        <w:rPr>
          <w:rFonts w:ascii="Times New Roman" w:cs="Times New Roman" w:eastAsia="Times New Roman" w:hAnsi="Times New Roman"/>
          <w:sz w:val="18"/>
          <w:szCs w:val="18"/>
          <w:b w:val="1"/>
          <w:bCs w:val="1"/>
          <w:u w:val="single" w:color="auto"/>
          <w:color w:val="auto"/>
        </w:rPr>
        <w:t>American Depositary Receipt(s)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Receipt(s)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certificate(s) issued by the Depositary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8" w:name="page19"/>
    <w:bookmarkEnd w:id="1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1.4 “</w:t>
      </w:r>
      <w:r>
        <w:rPr>
          <w:rFonts w:ascii="Times New Roman" w:cs="Times New Roman" w:eastAsia="Times New Roman" w:hAnsi="Times New Roman"/>
          <w:sz w:val="18"/>
          <w:szCs w:val="18"/>
          <w:b w:val="1"/>
          <w:bCs w:val="1"/>
          <w:u w:val="single" w:color="auto"/>
          <w:color w:val="auto"/>
        </w:rPr>
        <w:t>American Depositary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rights and interests in the Deposited Property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jc w:val="both"/>
        <w:ind w:firstLine="8"/>
        <w:spacing w:after="0" w:line="251"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1.5 “</w:t>
      </w:r>
      <w:r>
        <w:rPr>
          <w:rFonts w:ascii="Times New Roman" w:cs="Times New Roman" w:eastAsia="Times New Roman" w:hAnsi="Times New Roman"/>
          <w:sz w:val="18"/>
          <w:szCs w:val="18"/>
          <w:b w:val="1"/>
          <w:bCs w:val="1"/>
          <w:u w:val="single" w:color="auto"/>
          <w:color w:val="auto"/>
        </w:rPr>
        <w:t>Articles of Association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memorandum and articles of association of the Company, and any other constitutional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of the Company, as amended or restated and in effect from time to time.</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Section 1.6 “</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as to any ADS, any person or entity having a beneficial interest deriving from the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1.7</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meaning set forth in Section 2.13.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1.8</w:t>
            </w:r>
          </w:p>
        </w:tc>
        <w:tc>
          <w:tcPr>
            <w:tcW w:w="9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“Citibank” </w:t>
            </w:r>
            <w:r>
              <w:rPr>
                <w:rFonts w:ascii="Times New Roman" w:cs="Times New Roman" w:eastAsia="Times New Roman" w:hAnsi="Times New Roman"/>
                <w:sz w:val="18"/>
                <w:szCs w:val="18"/>
                <w:color w:val="auto"/>
              </w:rPr>
              <w:t>shall mean Citibank, N.A., a national banking association organized under the laws of the United States of</w:t>
            </w: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America, and its successors.</w:t>
            </w:r>
          </w:p>
        </w:tc>
        <w:tc>
          <w:tcPr>
            <w:tcW w:w="2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0" w:type="dxa"/>
            <w:vAlign w:val="bottom"/>
          </w:tcPr>
          <w:p>
            <w:pPr>
              <w:spacing w:after="0"/>
              <w:rPr>
                <w:sz w:val="20"/>
                <w:szCs w:val="20"/>
                <w:color w:val="auto"/>
              </w:rPr>
            </w:pPr>
          </w:p>
        </w:tc>
      </w:tr>
      <w:tr>
        <w:trPr>
          <w:trHeight w:val="391"/>
        </w:trPr>
        <w:tc>
          <w:tcPr>
            <w:tcW w:w="2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Section 1.9</w:t>
            </w:r>
          </w:p>
        </w:tc>
        <w:tc>
          <w:tcPr>
            <w:tcW w:w="91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“Commission” </w:t>
            </w:r>
            <w:r>
              <w:rPr>
                <w:rFonts w:ascii="Times New Roman" w:cs="Times New Roman" w:eastAsia="Times New Roman" w:hAnsi="Times New Roman"/>
                <w:sz w:val="18"/>
                <w:szCs w:val="18"/>
                <w:color w:val="auto"/>
              </w:rPr>
              <w:t>shall mean the Securities and Exchange Commission of the United States or any successor governmental</w:t>
            </w:r>
          </w:p>
        </w:tc>
      </w:tr>
      <w:tr>
        <w:trPr>
          <w:trHeight w:val="20"/>
        </w:trPr>
        <w:tc>
          <w:tcPr>
            <w:tcW w:w="2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thereto in the United States.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1.10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QuantaSing Group Limited, an exempted company incorporated with limited liability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Cayman Islands, and its successors.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1.11 “</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(i) as of the date hereof, Citibank, N.A. – Hong Kong, having its principal office at 9/F Citi Tower,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Bay East, 83 Hoi Bun Road, Kwun Tong, Kowloon, Hong Kong,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1.12 “</w:t>
      </w:r>
      <w:r>
        <w:rPr>
          <w:rFonts w:ascii="Times New Roman" w:cs="Times New Roman" w:eastAsia="Times New Roman" w:hAnsi="Times New Roman"/>
          <w:sz w:val="18"/>
          <w:szCs w:val="18"/>
          <w:b w:val="1"/>
          <w:bCs w:val="1"/>
          <w:u w:val="single" w:color="auto"/>
          <w:color w:val="auto"/>
        </w:rPr>
        <w:t>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when used in respect of Shares and other Deposited Securities</w:t>
      </w:r>
      <w:r>
        <w:rPr>
          <w:rFonts w:ascii="Times New Roman" w:cs="Times New Roman" w:eastAsia="Times New Roman" w:hAnsi="Times New Roman"/>
          <w:sz w:val="18"/>
          <w:szCs w:val="18"/>
          <w:color w:val="auto"/>
        </w:rPr>
        <w:t>,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if available, and (y) </w:t>
      </w:r>
      <w:r>
        <w:rPr>
          <w:rFonts w:ascii="Times New Roman" w:cs="Times New Roman" w:eastAsia="Times New Roman" w:hAnsi="Times New Roman"/>
          <w:sz w:val="18"/>
          <w:szCs w:val="18"/>
          <w:i w:val="1"/>
          <w:iCs w:val="1"/>
          <w:color w:val="auto"/>
        </w:rPr>
        <w:t>when used in respect of ADSs</w:t>
      </w:r>
      <w:r>
        <w:rPr>
          <w:rFonts w:ascii="Times New Roman" w:cs="Times New Roman" w:eastAsia="Times New Roman" w:hAnsi="Times New Roman"/>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1.13 “</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this Deposit Agreement and all exhibits hereto, as the same may from time to time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supplemented from time to time in accordance with the terms of the Deposit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1.14 “</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Deposit Agreement, and any successor depositary hereunder.</w:t>
      </w: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ADSs under the Deposit Agreement and constituting Deposited Property.</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1.17</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Dollars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refer to the lawful currency of the United States.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1.18 “</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1.19 “</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8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1.20</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Foreign Currency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any currency other than Dollars.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1.22 “</w:t>
      </w:r>
      <w:r>
        <w:rPr>
          <w:rFonts w:ascii="Times New Roman" w:cs="Times New Roman" w:eastAsia="Times New Roman" w:hAnsi="Times New Roman"/>
          <w:sz w:val="18"/>
          <w:szCs w:val="18"/>
          <w:b w:val="1"/>
          <w:bCs w:val="1"/>
          <w:u w:val="single" w:color="auto"/>
          <w:color w:val="auto"/>
        </w:rPr>
        <w:t>Full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Full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2.12.</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1.23 “</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1.24 “</w:t>
      </w:r>
      <w:r>
        <w:rPr>
          <w:rFonts w:ascii="Times New Roman" w:cs="Times New Roman" w:eastAsia="Times New Roman" w:hAnsi="Times New Roman"/>
          <w:sz w:val="18"/>
          <w:szCs w:val="18"/>
          <w:b w:val="1"/>
          <w:bCs w:val="1"/>
          <w:u w:val="single" w:color="auto"/>
          <w:color w:val="auto"/>
        </w:rPr>
        <w:t>Partial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1.25 “</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Section 1.26 “</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Section 1.27 “</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Shares, Deposited Securities or ADSs which (i) have been acquired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1.28</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Restricted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Restricted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 set forth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w:t>
      </w:r>
    </w:p>
    <w:p>
      <w:pPr>
        <w:spacing w:after="0" w:line="20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1.29</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mean the United States Securities Act of 1933, as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1.30 “</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Maples Fund Services (Cayman) Limited or any other institution organized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Cayman Islands appointed by the Company from time to time to carry out the duties of registrar for the Shares, and any successor thereto.</w:t>
      </w:r>
    </w:p>
    <w:p>
      <w:pPr>
        <w:spacing w:after="0" w:line="2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1.31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Company’s Class A ordinary shares, par value $0.0001 per share, validly issued and outstanding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1.32</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Uncertificated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1.33 “</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3" w:lineRule="auto"/>
        <w:tabs>
          <w:tab w:leader="none" w:pos="101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ADSs shall be evidenced by definitive ADRs which shall be engraved, printed, lithographed or produced in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ind w:right="20" w:firstLine="656"/>
        <w:spacing w:after="0" w:line="263" w:lineRule="auto"/>
        <w:tabs>
          <w:tab w:leader="none" w:pos="1012"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ADRs may be endorsed with, or have incorporated in the text thereof, such legends or recitals not inconsistent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Deposit Agreement as may be (i) necessary to enable the Depositary and the Company to perform their respective obligations hereunder,</w:t>
      </w:r>
    </w:p>
    <w:p>
      <w:pPr>
        <w:jc w:val="both"/>
        <w:ind w:firstLine="8"/>
        <w:spacing w:after="0" w:line="252" w:lineRule="auto"/>
        <w:tabs>
          <w:tab w:leader="none" w:pos="2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996"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and in the ADR, title to an ADR (and to each Certificated ADS evidenced thereby)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71"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Book-Entry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arrangements for the acceptance of the ADSs into DTC. All ADSs held through DTC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Deposit Agreement and applicable law, Shares or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8"/>
          <w:szCs w:val="18"/>
          <w:i w:val="1"/>
          <w:iCs w:val="1"/>
          <w:color w:val="auto"/>
        </w:rPr>
        <w:t>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case of Shares represented by certificates issued in registered form</w:t>
      </w:r>
      <w:r>
        <w:rPr>
          <w:rFonts w:ascii="Times New Roman" w:cs="Times New Roman" w:eastAsia="Times New Roman" w:hAnsi="Times New Roman"/>
          <w:sz w:val="18"/>
          <w:szCs w:val="18"/>
          <w:color w:val="auto"/>
        </w:rPr>
        <w:t>, appropriate instruments of transfer or endorsement, in a form satisfactory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Custodian, (ii) </w:t>
      </w:r>
      <w:r>
        <w:rPr>
          <w:rFonts w:ascii="Times New Roman" w:cs="Times New Roman" w:eastAsia="Times New Roman" w:hAnsi="Times New Roman"/>
          <w:sz w:val="18"/>
          <w:szCs w:val="18"/>
          <w:i w:val="1"/>
          <w:iCs w:val="1"/>
          <w:color w:val="auto"/>
        </w:rPr>
        <w:t>in the case of Shares represented by certificates in bearer form,</w:t>
      </w:r>
      <w:r>
        <w:rPr>
          <w:rFonts w:ascii="Times New Roman" w:cs="Times New Roman" w:eastAsia="Times New Roman" w:hAnsi="Times New Roman"/>
          <w:sz w:val="18"/>
          <w:szCs w:val="18"/>
          <w:color w:val="auto"/>
        </w:rPr>
        <w:t xml:space="preserve"> the requisite coupons and talons pertaining thereto, and (iii) </w:t>
      </w:r>
      <w:r>
        <w:rPr>
          <w:rFonts w:ascii="Times New Roman" w:cs="Times New Roman" w:eastAsia="Times New Roman" w:hAnsi="Times New Roman"/>
          <w:sz w:val="18"/>
          <w:szCs w:val="18"/>
          <w:i w:val="1"/>
          <w:iCs w:val="1"/>
          <w:color w:val="auto"/>
        </w:rPr>
        <w:t>in the case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 delivered by book-entry transfer and recordation</w:t>
      </w:r>
      <w:r>
        <w:rPr>
          <w:rFonts w:ascii="Times New Roman" w:cs="Times New Roman" w:eastAsia="Times New Roman" w:hAnsi="Times New Roman"/>
          <w:sz w:val="18"/>
          <w:szCs w:val="18"/>
          <w:color w:val="auto"/>
        </w:rPr>
        <w:t>, confirmation of such book-entry transfer and recordation in the books of the Share Registrar 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book-entry settlement entity, as applicable, to the Custodian or that irrevocable instructions have been given to cause such Shares to be so issued,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Registration and Safekeeping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instruct the Custodian upon each Delivery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color w:val="auto"/>
        </w:rPr>
        <w:t>. The Depositary has made arrangements with the Custodian for the Custodian to confirm to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charges of the Depositary for accepting a deposit of Shares and issuing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Shares and the issuance of the ADS(s). The Depositary shall only issue ADSs in whole numbers and deliver, if applicable, ADR(s) evidencing whole numbers of ADSs.</w:t>
      </w:r>
    </w:p>
    <w:p>
      <w:pPr>
        <w:spacing w:after="0" w:line="18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00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ADRs (and of the ADSs represented thereby) on the books maintained for such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Depositary shall, as promptly as practicable,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both"/>
        <w:ind w:firstLine="656"/>
        <w:spacing w:after="0" w:line="255" w:lineRule="auto"/>
        <w:tabs>
          <w:tab w:leader="none" w:pos="98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Combination &amp;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split-up or combination of ADRs (and of the ADSs represented thereby)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ADSs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ADRs evidencing the surrendered ADSs, of the Deposit Agreement, of the Articles of Association, and of any applicable laws and the rules of the applicable book-entry settlement entity, and to any provisions of or governing the Deposited Securities, in each case as in effect at the time thereof.</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jc w:val="both"/>
        <w:ind w:firstLine="656"/>
        <w:spacing w:after="0" w:line="254" w:lineRule="auto"/>
        <w:tabs>
          <w:tab w:leader="none" w:pos="1127"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 transfer, split-up,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w:t>
      </w:r>
    </w:p>
    <w:p>
      <w:pPr>
        <w:ind w:right="20" w:firstLine="8"/>
        <w:spacing w:after="0" w:line="260" w:lineRule="auto"/>
        <w:tabs>
          <w:tab w:leader="none" w:pos="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2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both"/>
        <w:ind w:firstLine="656"/>
        <w:spacing w:after="0" w:line="256" w:lineRule="auto"/>
        <w:tabs>
          <w:tab w:leader="none" w:pos="102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ADSs against deposits of Shares generally or against deposits of particular Shares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02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of the Deposit Agreement or any ADR(s) to the contrary, Holders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ADR 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canceled by the Depositary. Canceled ADRs shall not be entitled to any benefits under the Deposit Agreement or be valid or enforceable against the Depositary or the Company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Shares are deposited which (i) entitle the holders thereof to receive a per-share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18"/>
          <w:szCs w:val="18"/>
          <w:u w:val="single" w:color="auto"/>
          <w:color w:val="auto"/>
        </w:rPr>
        <w:t>Full Entitlement Shares</w:t>
      </w:r>
      <w:r>
        <w:rPr>
          <w:rFonts w:ascii="Times New Roman" w:cs="Times New Roman" w:eastAsia="Times New Roman" w:hAnsi="Times New Roman"/>
          <w:sz w:val="18"/>
          <w:szCs w:val="18"/>
          <w:color w:val="auto"/>
        </w:rPr>
        <w:t>” and the Shares with different entitlement, “</w:t>
      </w:r>
      <w:r>
        <w:rPr>
          <w:rFonts w:ascii="Times New Roman" w:cs="Times New Roman" w:eastAsia="Times New Roman" w:hAnsi="Times New Roman"/>
          <w:sz w:val="18"/>
          <w:szCs w:val="18"/>
          <w:u w:val="single" w:color="auto"/>
          <w:color w:val="auto"/>
        </w:rPr>
        <w:t>Partial Entitlement Shares</w:t>
      </w:r>
      <w:r>
        <w:rPr>
          <w:rFonts w:ascii="Times New Roman" w:cs="Times New Roman" w:eastAsia="Times New Roman" w:hAnsi="Times New Roman"/>
          <w:sz w:val="18"/>
          <w:szCs w:val="18"/>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18"/>
          <w:szCs w:val="18"/>
          <w:u w:val="single" w:color="auto"/>
          <w:color w:val="auto"/>
        </w:rPr>
        <w:t>Partial Entitlement ADSs/ADRs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Full Entitlement ADSs/ADRs</w:t>
      </w:r>
      <w:r>
        <w:rPr>
          <w:rFonts w:ascii="Times New Roman" w:cs="Times New Roman" w:eastAsia="Times New Roman" w:hAnsi="Times New Roman"/>
          <w:sz w:val="18"/>
          <w:szCs w:val="18"/>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w:t>
      </w:r>
    </w:p>
    <w:p>
      <w:pPr>
        <w:spacing w:after="0" w:line="3" w:lineRule="exact"/>
        <w:rPr>
          <w:sz w:val="20"/>
          <w:szCs w:val="20"/>
          <w:color w:val="auto"/>
        </w:rPr>
      </w:pPr>
    </w:p>
    <w:p>
      <w:pPr>
        <w:jc w:val="both"/>
        <w:ind w:firstLine="8"/>
        <w:spacing w:after="0" w:line="25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the Depositary may,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from time to time, issue ADSs that are not evidenced by ADRs (such ADSs, the “</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and the ADS(s) evidenced by ADR(s), the “</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18"/>
          <w:szCs w:val="18"/>
          <w:color w:val="auto"/>
        </w:rPr>
        <w:t>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4" w:lineRule="exact"/>
        <w:rPr>
          <w:sz w:val="20"/>
          <w:szCs w:val="20"/>
          <w:color w:val="auto"/>
        </w:rPr>
      </w:pPr>
    </w:p>
    <w:p>
      <w:pPr>
        <w:jc w:val="both"/>
        <w:ind w:firstLine="8"/>
        <w:spacing w:after="0" w:line="250" w:lineRule="auto"/>
        <w:tabs>
          <w:tab w:leader="none" w:pos="2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2" w:name="page33"/>
    <w:bookmarkEnd w:id="32"/>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upon such terms and conditions as the Company and the Depositary may deem necessary and appropriate. The Company shall assist the Depositary in the establishment of such procedures and agrees that it shall take all reasonable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0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cease to be Restricted Securities, the Depositary, upon receipt of (x) an opinion of counsel reasonably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written request of the Company, shall,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w:t>
      </w:r>
    </w:p>
    <w:p>
      <w:pPr>
        <w:spacing w:after="0" w:line="8" w:lineRule="exact"/>
        <w:rPr>
          <w:sz w:val="20"/>
          <w:szCs w:val="20"/>
          <w:color w:val="auto"/>
        </w:rPr>
      </w:pPr>
    </w:p>
    <w:p>
      <w:pPr>
        <w:jc w:val="both"/>
        <w:ind w:firstLine="8"/>
        <w:spacing w:after="0" w:line="253" w:lineRule="auto"/>
        <w:tabs>
          <w:tab w:leader="none" w:pos="3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color w:val="auto"/>
        </w:rPr>
        <w:t>. 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the Deposit Agreement or any ADR(s)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the Company may restrict transfers of the Shares where such transfer might result in ownership of Shares exceeding limits imposed by applicable law or the Articles of Association. The Company may also restrict, in such manner as it deems appropriate, transfers of the ADSs where such transfer may result in the total number of Shares represented by the ADSs owned by a single Holder or Beneficial Owner to exceed any such limits. Notwithstanding anything to the contrary, the Company may, in its sole discretion but subject to applicable law, instruct the Depositary to take action with respect to the ownership interest of any Holder or Beneficial Owner,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in each case if and to the extent such action is permitted by applicable law and the Articles of Association. Nothing herein shall be interpreted as obligating the Depositary or the Company to ensure compliance with the ownership restrictions described in this Section 3.5. The Depositary shall have no liability for any actions taken in accordance with such instructions, except for the liability due to the negligence or bad faith of the Depositary and/or the Custodian (for as long as the Custodian is a branch of Citibank).</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03"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Section 4.1</w:t>
      </w:r>
      <w:r>
        <w:rPr>
          <w:sz w:val="20"/>
          <w:szCs w:val="20"/>
          <w:color w:val="auto"/>
        </w:rPr>
        <w:tab/>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respect of any Deposited Securities, the Company shall give notice thereof to the Depositary at least twenty (20) days prior to the proposed distribution (or such shorter period as the Depositary and the Company may mutually agree to from time to time),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of, Shares, the Company shall give notice thereof to the Depositary at least twenty (20) days prior to the proposed distribution (or such shorter period as the Depositary and the Company may mutually agree to from time to time),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obligations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00" w:lineRule="exact"/>
        <w:rPr>
          <w:sz w:val="20"/>
          <w:szCs w:val="20"/>
          <w:color w:val="auto"/>
        </w:rPr>
      </w:pPr>
    </w:p>
    <w:p>
      <w:pPr>
        <w:spacing w:after="0" w:line="32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forty-five (45) days prior to the proposed distribution (or such shorter period as the Depositary and the Company may mutually agree to from time to time),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18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2" w:lineRule="auto"/>
        <w:tabs>
          <w:tab w:leader="none" w:pos="992"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Distribution to ADS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distribute to the holders of the Deposited Securities rights to subscribe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Shares, the Company shall give notice thereof to the Depositary at least sixty (60) days prior to the proposed distribution (or such shorter period as the Depositary and the Company may mutually agree to from time to time),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reasonably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56"/>
        <w:spacing w:after="0" w:line="256" w:lineRule="auto"/>
        <w:tabs>
          <w:tab w:leader="none" w:pos="97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 the Company does not timely request the Depositary to make the rights available to Holders or requests that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made available to Holders, (ii) the Depositary fails to receive reasonably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9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Lapse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Depositary is unable to make any rights available to Holders upon the terms described in Section 4.4(a) or to arrange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sale of the rights upon the terms described in Section 4.4(b), the Depositary shall allow such rights to lapse.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Shares or Rights to Purchase Shares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56"/>
        <w:spacing w:after="0" w:line="255" w:lineRule="auto"/>
        <w:tabs>
          <w:tab w:leader="none" w:pos="103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reasonably satisfactory documentation within the terms of Section 5.7, and (iii) the Depositary shall have determined that such distribution is reasonably practicable.</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7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reasonably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1" w:name="page42"/>
    <w:bookmarkEnd w:id="41"/>
    <w:p>
      <w:pPr>
        <w:jc w:val="both"/>
        <w:ind w:firstLine="656"/>
        <w:spacing w:after="0" w:line="255" w:lineRule="auto"/>
        <w:tabs>
          <w:tab w:leader="none" w:pos="106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 the Company does not request the Depositary to make such distribution to Holders or requests the Depositary not to make such distribution to Holders, (ii) the Depositary does not receive reasonably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7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forty-five (45) days prior to the intended date of redemption (or such shorter period as the Depositary and the Company may mutually agree to from time to time), which notice shall set forth the particulars of the proposed redemption. Upon timely receipt of (i) such notice and (ii) reasonably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or deemed to have been given in accordance with this Section 4.10 if no instructions are received or if the voting instructions from a Holder fails to specify the manner in which the Depositary is to vote the Deposited Securities represented by such Holder’s ADSs prior to the deadline for such purposes to the Depositary to give a proxy to a person designated by the Company. Notwithstanding anything contained in the Deposit Agreement to the contrary, in the event the Company fails to timely request that the Depositary distribute the information as provided for in this Section 4.10, the Depositary agrees, following receipt of notice of the applicable meeting or solicitation of consents or proxies and, if the Depositary requests, reasonable and prompt consultation between the Company and the Depositary, to use commercially reasonable efforts to perform the actions contemplated in this Section 4.10, and the Company, the Holders and the Beneficial Owners acknowledge that the Depositary shall have no liability for the Depositary’s failure to perform the actions contemplated in this Section 4.10 where such notice has not been so timely given, other than its failure to use commercially reasonable efforts, if required, as provided herein.</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as in effect on the date of the Deposit Agreement, a poll may be demanded by (a) the chairman of the meeting or (b) any shareholder present in person or by proxy and having the right to vote on the resolution.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refrain from voting and the voting instructions (or the deemed voting instructions, as set out herein) received from Holders of ADSs shall lapse, and (b) </w:t>
      </w:r>
      <w:r>
        <w:rPr>
          <w:rFonts w:ascii="Times New Roman" w:cs="Times New Roman" w:eastAsia="Times New Roman" w:hAnsi="Times New Roman"/>
          <w:sz w:val="18"/>
          <w:szCs w:val="18"/>
          <w:i w:val="1"/>
          <w:iCs w:val="1"/>
          <w:color w:val="auto"/>
        </w:rPr>
        <w:t>in the event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takes place at a shareholders’ meeting by poll</w:t>
      </w:r>
      <w:r>
        <w:rPr>
          <w:rFonts w:ascii="Times New Roman" w:cs="Times New Roman" w:eastAsia="Times New Roman" w:hAnsi="Times New Roman"/>
          <w:sz w:val="18"/>
          <w:szCs w:val="18"/>
          <w:color w:val="auto"/>
        </w:rPr>
        <w:t>, the Depositary will instruct the Custodian to vote the Deposited Securities in accordance with the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instructions timely received from the Holders of ADSs or as otherwise contemplated herein. For the avoidance of doubt, if voting is by poll and if the Depositary does not receive voting instructions from a Holder as of the ADS Record Date on or before the date established by the Depositary for such purpose, such Holder shall be deemed, and the Depositary shall deem such Holder, to have instructed the Depositary to give a proxy to a person designated by the Company to vote the Deposited Securities in a manner consistent with the recommendation(s) made by the Company’s board of directors as set forth in the proxy statement or other voting materials in connection with the matter(s) submitted for voting;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Deposited Securities represented by ADSs for which no timely voting instructions are received by the Depositary from the Holder shall not be voted (except (a) in the case voting is by show of hands, in which case the Depositary will instruct the Custodian to refrain from voting, and (b) as otherwise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give a proxy to a person designated by the Company to vote the Deposited Securities in a manner consistent with the recommendation(s) made by the Company’s board of directors as set forth in the proxy statement or other voting materials in connection with the matter(s) submitted for voting;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jc w:val="both"/>
        <w:ind w:firstLine="8"/>
        <w:spacing w:after="0" w:line="251"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Available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 the Exchange Act and, accordingly,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ADSs of all Holders.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None of the Company, the Depositary or the Custodian shall be liable for the failure by any Holder or Beneficial Owner to obtain the benefits of credits on the basis of non-U.S. tax paid against such Holder’s or Beneficial Owner’s income tax liability.</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Neither the Company nor the Depositary shall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with the prior written consent of the Company, removed and a substitute or substitutes appointed by the Depositary. The Depositary shall notify the Company of any such removal of appointment.</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reasonably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40" w:hanging="232"/>
        <w:spacing w:after="0"/>
        <w:tabs>
          <w:tab w:leader="none" w:pos="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commercially reasonable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 Hong Kong as Custodian for the purpose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will also transmit to the Depositary (a) an English language version of the other notices, reports and communications which are made generally available by the Company to holders of its Shares or other Deposited Securities and (b) the English 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made available to the Depositary and the Custodian a copy of the Articles of Association along with the provisions of or governing the Shares and any other Deposited Securities issued by the Company in connection with such Shares, and promptly upon any amendment thereto or change therein, the Company shall notify the Depositary and the Custodian of such amendment or change and make available to the Depositary and the Custodian a copy of such amendment thereto or change therein to the extent such amendment or change is not available on the Company’s website or at the SEC’s website. The Depositary may rely upon such copy for all purposes of the Deposit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reasonable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Cayman Islands counsel (reasonably satisfactory to the Depositary) stating that (1) making the transaction available to Holders and Beneficial Owners does not violate the laws or regulations of the Cayman Islands and (2) all requisite regulatory consents and approvals have been obtained in the Cayman Islands; provided, however, that the Depositary may waive the requirement of such opinion in the event of an issuance of Shares as a bonus or compensation, share split or other similar event.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w:t>
      </w:r>
    </w:p>
    <w:p>
      <w:pPr>
        <w:spacing w:after="0" w:line="14" w:lineRule="exact"/>
        <w:rPr>
          <w:sz w:val="20"/>
          <w:szCs w:val="20"/>
          <w:color w:val="auto"/>
        </w:rPr>
      </w:pPr>
    </w:p>
    <w:p>
      <w:pPr>
        <w:jc w:val="both"/>
        <w:ind w:firstLine="8"/>
        <w:spacing w:after="0" w:line="250" w:lineRule="auto"/>
        <w:tabs>
          <w:tab w:leader="none" w:pos="32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w:t>
      </w:r>
    </w:p>
    <w:p>
      <w:pPr>
        <w:jc w:val="both"/>
        <w:ind w:firstLine="8"/>
        <w:spacing w:after="0" w:line="253" w:lineRule="auto"/>
        <w:tabs>
          <w:tab w:leader="none" w:pos="22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and/or the Custodian (for as long as the Custodian is a branch of Citibank) under the terms hereof due to the negligence or bad faith of the Depositary and/or the Custodian (for as long as the Custodian is a branch of Citibank).</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provided, that, in each of the cases of (a) to (c) herein, the Company shall not indemnify any of the Depositary, the Custodian, or its or their respective directors, officers, employees, agents and Affiliates against (a) any loss, liability, tax, charge or expense is due to the negligence or bad faith of any of them, or (b) any taxes imposed on net income of the Depositary or the Custodian, or (c) any liability or expense arising out of information relating to the Depositary or such Custodian, as the case may be, furnished in a writing by the Depositary to the Company expressly for use in any registration statement, proxy statement, prospectus, preliminary prospectus or any other offering documents relating to the ADRs, the ADSs or any Deposited Securities represented by the ADSs.</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as soon as practicable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color w:val="auto"/>
        </w:rPr>
        <w:t>. The Company, the Holders, the Beneficial Owners, persons depositing Shares or withdrawing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Deposited Securities in connection with the issuance and cancellation of ADSs, and persons receiving ADSs upon issuance or whose ADSs are being cancelled shall be required to pay the Depositary’s fees and related charges identified as payable by them respectively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upon the resignation or removal of such Depositary as described in Section 5.4, the right to collect ADS fees and charges shall extend for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fees and charges incurred prior to the effectiveness of such resignation or removal.</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jc w:val="both"/>
        <w:ind w:firstLine="8"/>
        <w:spacing w:after="0" w:line="252" w:lineRule="auto"/>
        <w:tabs>
          <w:tab w:leader="none" w:pos="2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7" w:name="page58"/>
    <w:bookmarkEnd w:id="5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9" w:name="page60"/>
    <w:bookmarkEnd w:id="59"/>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mail, air courier or cable, telex or facsimile transmission, confirmed by letter personally delivered or sent by mail or air courier, addressed to QuantaSing Group Limited, Room 710, 5/F, Building No. 1, Zone No. 1, Ronghe Road, Chaoyang District, Beijing 100102, People’s Republic of China, Attention: Chief Executive Officer and Chief Financial Officer, or to any other address which the Company may specify in writing to the Depositary.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0" w:name="page61"/>
    <w:bookmarkEnd w:id="60"/>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(including claims arising under the Exchange Act or the Securities Act), and, for such purposes, each irrevocably submits to the non-exclusive jurisdiction of such courts.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(including, but not limited to, any underwriters retained by the Company), arising out of or relating in any way to this Deposit Agreement, the American Depositary Shares or Receipts, or the transactions contemplated hereby or thereby or by virtue of ownership thereof, including without limitation claims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hereby irrevocably designates, appoints and empowers Cogency Global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jc w:val="both"/>
        <w:ind w:firstLine="8"/>
        <w:spacing w:after="0" w:line="251" w:lineRule="auto"/>
        <w:tabs>
          <w:tab w:leader="none" w:pos="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 For the avoidance of doubt, the provisions of this paragraph are for the sole benefit of the Company and the Depositary, and shall not inure to the benefit of any Holder, Beneficial Owner, or any third party.</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2" w:name="page63"/>
    <w:bookmarkEnd w:id="62"/>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u w:val="single" w:color="auto"/>
          <w:color w:val="auto"/>
        </w:rPr>
        <w:t>Compliance with, and No Disclaimer under, U.S. Securities Laws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656"/>
        <w:spacing w:after="0" w:line="266" w:lineRule="auto"/>
        <w:tabs>
          <w:tab w:leader="none" w:pos="992"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5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Cayman Islands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the laws and regulations of the Cayman Islands and of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54" w:lineRule="auto"/>
        <w:tabs>
          <w:tab w:leader="none" w:pos="1019"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the Deposit Agreement to exhibits, articles, sections, subsections, and other subdivisions refer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jc w:val="both"/>
        <w:ind w:firstLine="656"/>
        <w:spacing w:after="0" w:line="254" w:lineRule="auto"/>
        <w:tabs>
          <w:tab w:leader="none" w:pos="98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any ADR(s) to paragraphs, exhibits, articles, sections, subsections, and other subdivisions refer to the paragraphs,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on following page]</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4" w:name="page65"/>
    <w:bookmarkEnd w:id="6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QUANTASING GROUP LIMITED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QUANTASING GROUP LIMITED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ADR]</w:t>
      </w:r>
    </w:p>
    <w:p>
      <w:pPr>
        <w:sectPr>
          <w:pgSz w:w="11900" w:h="16838" w:orient="portrait"/>
          <w:cols w:equalWidth="0" w:num="1">
            <w:col w:w="11240"/>
          </w:cols>
          <w:pgMar w:left="320" w:top="792"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_______</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NUMBER: _______</w:t>
      </w:r>
    </w:p>
    <w:p>
      <w:pPr>
        <w:spacing w:after="0" w:line="211" w:lineRule="exact"/>
        <w:rPr>
          <w:sz w:val="20"/>
          <w:szCs w:val="20"/>
          <w:color w:val="auto"/>
        </w:rPr>
      </w:pPr>
    </w:p>
    <w:p>
      <w:pPr>
        <w:sectPr>
          <w:pgSz w:w="11900" w:h="16838" w:orient="portrait"/>
          <w:cols w:equalWidth="0" w:num="2">
            <w:col w:w="8480" w:space="720"/>
            <w:col w:w="2040"/>
          </w:cols>
          <w:pgMar w:left="320" w:top="792" w:right="339" w:bottom="1440" w:gutter="0" w:footer="0" w:header="0"/>
          <w:type w:val="continuous"/>
        </w:sectPr>
      </w:pPr>
    </w:p>
    <w:p>
      <w:pPr>
        <w:spacing w:after="0" w:line="25" w:lineRule="exact"/>
        <w:rPr>
          <w:sz w:val="20"/>
          <w:szCs w:val="20"/>
          <w:color w:val="auto"/>
        </w:rPr>
      </w:pPr>
    </w:p>
    <w:p>
      <w:pPr>
        <w:ind w:left="7320"/>
        <w:spacing w:after="0"/>
        <w:tabs>
          <w:tab w:leader="none" w:pos="8220" w:val="left"/>
          <w:tab w:leader="none" w:pos="9220" w:val="left"/>
          <w:tab w:leader="none" w:pos="9900" w:val="left"/>
          <w:tab w:leader="none" w:pos="10500" w:val="left"/>
        </w:tabs>
        <w:rPr>
          <w:sz w:val="20"/>
          <w:szCs w:val="20"/>
          <w:color w:val="auto"/>
        </w:rPr>
      </w:pPr>
      <w:r>
        <w:rPr>
          <w:rFonts w:ascii="Times New Roman" w:cs="Times New Roman" w:eastAsia="Times New Roman" w:hAnsi="Times New Roman"/>
          <w:sz w:val="18"/>
          <w:szCs w:val="18"/>
          <w:color w:val="auto"/>
        </w:rPr>
        <w:t>American</w:t>
        <w:tab/>
        <w:t>Depositary</w:t>
        <w:tab/>
        <w:t>Shares</w:t>
        <w:tab/>
        <w:t>(each</w:t>
        <w:tab/>
        <w:t>American</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Depositary Share representing the right to receive [·]</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 fully paid Class A ordinary share[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DEPOSITED CLASS A ORDINARY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QUANTASING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ectPr>
          <w:pgSz w:w="11900" w:h="16838" w:orient="portrait"/>
          <w:cols w:equalWidth="0" w:num="1">
            <w:col w:w="11240"/>
          </w:cols>
          <w:pgMar w:left="320" w:top="792" w:right="339" w:bottom="1440" w:gutter="0" w:footer="0" w:header="0"/>
          <w:type w:val="continuous"/>
        </w:sectPr>
      </w:pP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jc w:val="both"/>
        <w:spacing w:after="0" w:line="252" w:lineRule="auto"/>
        <w:rPr>
          <w:sz w:val="20"/>
          <w:szCs w:val="20"/>
          <w:color w:val="auto"/>
        </w:rPr>
      </w:pPr>
      <w:r>
        <w:rPr>
          <w:rFonts w:ascii="Times New Roman" w:cs="Times New Roman" w:eastAsia="Times New Roman" w:hAnsi="Times New Roman"/>
          <w:sz w:val="18"/>
          <w:szCs w:val="18"/>
          <w:color w:val="auto"/>
        </w:rPr>
        <w:t>deposited Class A ordinary shares, including evidence of rights to receive such Class A ordinary shares (the “Shares”), of QuantaSing Group Limited, an exempted company incorporated with limited liability under the laws of the Cayman Islands, and its successors (the “Company”). As of the date of issuance of this ADR, each ADS represents the right to receive [·] ([·]) Share[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66" w:name="page67"/>
    <w:bookmarkEnd w:id="66"/>
    <w:p>
      <w:pPr>
        <w:jc w:val="both"/>
        <w:ind w:firstLine="656"/>
        <w:spacing w:after="0" w:line="253" w:lineRule="auto"/>
        <w:tabs>
          <w:tab w:leader="none" w:pos="153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 be issued upon the terms and conditions set forth in the Deposit Agreement, dated as of [·]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7" w:name="page68"/>
    <w:bookmarkEnd w:id="67"/>
    <w:p>
      <w:pPr>
        <w:jc w:val="both"/>
        <w:ind w:firstLine="656"/>
        <w:spacing w:after="0" w:line="252" w:lineRule="auto"/>
        <w:tabs>
          <w:tab w:leader="none" w:pos="1532"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the applicable book-entry settlement entity, and to any provisions of or governing the Deposited Securities, in each case as in effect at the time thereof. 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32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of any applicable laws and of the rules of the applicable book-entry settlement entity, and to the terms and conditions of or governing the Deposited Securities, in each case as in effect at the time thereof.</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8" w:name="page69"/>
    <w:bookmarkEnd w:id="68"/>
    <w:p>
      <w:pPr>
        <w:jc w:val="both"/>
        <w:ind w:firstLine="656"/>
        <w:spacing w:after="0" w:line="256" w:lineRule="auto"/>
        <w:tabs>
          <w:tab w:leader="none" w:pos="164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on the books maintained for such purpose and the Depositary shall, as promptly as practicable,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w:t>
      </w:r>
    </w:p>
    <w:p>
      <w:pPr>
        <w:spacing w:after="0" w:line="3" w:lineRule="exact"/>
        <w:rPr>
          <w:rFonts w:ascii="Times New Roman" w:cs="Times New Roman" w:eastAsia="Times New Roman" w:hAnsi="Times New Roman"/>
          <w:sz w:val="18"/>
          <w:szCs w:val="18"/>
          <w:b w:val="1"/>
          <w:bCs w:val="1"/>
          <w:color w:val="auto"/>
        </w:rPr>
      </w:pPr>
    </w:p>
    <w:p>
      <w:pPr>
        <w:jc w:val="both"/>
        <w:ind w:firstLine="8"/>
        <w:spacing w:after="0" w:line="252" w:lineRule="auto"/>
        <w:tabs>
          <w:tab w:leader="none" w:pos="2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jc w:val="both"/>
        <w:ind w:firstLine="8"/>
        <w:spacing w:after="0" w:line="255" w:lineRule="auto"/>
        <w:tabs>
          <w:tab w:leader="none" w:pos="28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jc w:val="both"/>
        <w:ind w:firstLine="656"/>
        <w:spacing w:after="0" w:line="254" w:lineRule="auto"/>
        <w:tabs>
          <w:tab w:leader="none" w:pos="1586"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jc w:val="both"/>
        <w:ind w:firstLine="656"/>
        <w:spacing w:after="0" w:line="256" w:lineRule="auto"/>
        <w:tabs>
          <w:tab w:leader="none" w:pos="16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Beneficial Owner of the ADSs represented hereby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65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restrict transfers of the Shares where such transfer might result in ownership of Shares exceeding limits imposed by applicable law or the Articles of Association the Company. The Company may also restrict, in such manner as it deems appropriate, transfers of the ADSs where such transfer may result in the total number of Shares represented by the ADSs owned by a single Holder or Beneficial Owner to exceed any such limits. Notwithstanding anything to the contrary, the Company may, in its sole discretion but subject to applicable law, instruct the Depositary to take action with respect to the ownership interest of any Holder or Beneficial Owner,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in each case if and to the extent such action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 The Depositary shall have no liability for any actions taken in accordance with such instructions, except for the liability due to the negligence or bad faith of the Depositary and/or the Custodian (for as long as the Custodian is a branch of Citibank).</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0" w:name="page71"/>
    <w:bookmarkEnd w:id="70"/>
    <w:p>
      <w:pPr>
        <w:jc w:val="both"/>
        <w:ind w:firstLine="656"/>
        <w:spacing w:after="0" w:line="256" w:lineRule="auto"/>
        <w:tabs>
          <w:tab w:leader="none" w:pos="162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3" w:lineRule="auto"/>
        <w:tabs>
          <w:tab w:leader="none" w:pos="16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 of the Deposit Agreement) the withdrawal of Deposited Property until payment in full of such tax, charge, penalty or interest is received. Every Holder and Beneficial Owner agrees to indemnify the Depositary, the Company, the Custodian, and any of their agents, directors,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1789"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1" w:name="page72"/>
    <w:bookmarkEnd w:id="71"/>
    <w:p>
      <w:pPr>
        <w:jc w:val="both"/>
        <w:ind w:firstLine="656"/>
        <w:spacing w:after="0" w:line="253" w:lineRule="auto"/>
        <w:tabs>
          <w:tab w:leader="none" w:pos="144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written request of the Company, shall, withhold the execution or delivery or registration of transfer of any ADR or ADS or the distribution or sale of any dividend or distribution of rights or of the proceeds thereof or, to the extent not limited by paragraph (25) and Section 7.8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187" w:lineRule="exact"/>
        <w:rPr>
          <w:rFonts w:ascii="Times New Roman" w:cs="Times New Roman" w:eastAsia="Times New Roman" w:hAnsi="Times New Roman"/>
          <w:sz w:val="18"/>
          <w:szCs w:val="18"/>
          <w:b w:val="1"/>
          <w:bCs w:val="1"/>
          <w:color w:val="auto"/>
        </w:rPr>
      </w:pPr>
    </w:p>
    <w:p>
      <w:pPr>
        <w:ind w:left="1440" w:hanging="784"/>
        <w:spacing w:after="0"/>
        <w:tabs>
          <w:tab w:leader="none" w:pos="14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jc w:val="both"/>
        <w:ind w:left="1960" w:hanging="656"/>
        <w:spacing w:after="0" w:line="267"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Issuance Fee</w:t>
      </w:r>
      <w:r>
        <w:rPr>
          <w:rFonts w:ascii="Times New Roman" w:cs="Times New Roman" w:eastAsia="Times New Roman" w:hAnsi="Times New Roman"/>
          <w:sz w:val="18"/>
          <w:szCs w:val="18"/>
          <w:color w:val="auto"/>
        </w:rPr>
        <w:t>: by any person for whom ADSs are issued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73" w:lineRule="exact"/>
        <w:rPr>
          <w:rFonts w:ascii="Times New Roman" w:cs="Times New Roman" w:eastAsia="Times New Roman" w:hAnsi="Times New Roman"/>
          <w:sz w:val="18"/>
          <w:szCs w:val="18"/>
          <w:color w:val="auto"/>
        </w:rPr>
      </w:pPr>
    </w:p>
    <w:p>
      <w:pPr>
        <w:jc w:val="both"/>
        <w:ind w:left="1960" w:hanging="656"/>
        <w:spacing w:after="0" w:line="267"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2" w:name="page73"/>
    <w:bookmarkEnd w:id="72"/>
    <w:p>
      <w:pPr>
        <w:jc w:val="both"/>
        <w:ind w:left="1960" w:hanging="656"/>
        <w:spacing w:after="0" w:line="266"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3" w:name="page74"/>
    <w:bookmarkEnd w:id="73"/>
    <w:p>
      <w:pPr>
        <w:ind w:left="1960" w:right="20" w:hanging="656"/>
        <w:spacing w:after="0" w:line="282"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ADS fees and charges may, and at the written request of the Company, and to the extent practicable, shall, and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jc w:val="both"/>
        <w:ind w:firstLine="656"/>
        <w:spacing w:after="0" w:line="254" w:lineRule="auto"/>
        <w:tabs>
          <w:tab w:leader="none" w:pos="145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456"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537"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5" w:name="page76"/>
    <w:bookmarkEnd w:id="7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796"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96"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796" w:right="339" w:bottom="1440" w:gutter="0" w:footer="0" w:header="0"/>
          <w:type w:val="continuous"/>
        </w:sectPr>
      </w:pPr>
    </w:p>
    <w:p>
      <w:pPr>
        <w:spacing w:after="0" w:line="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3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jc w:val="both"/>
        <w:ind w:firstLine="656"/>
        <w:spacing w:after="0" w:line="252" w:lineRule="auto"/>
        <w:tabs>
          <w:tab w:leader="none" w:pos="1442"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that it intends to make a distribution of a cash 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7" w:name="page78"/>
    <w:bookmarkEnd w:id="77"/>
    <w:p>
      <w:pPr>
        <w:jc w:val="both"/>
        <w:ind w:firstLine="656"/>
        <w:spacing w:after="0" w:line="254" w:lineRule="auto"/>
        <w:tabs>
          <w:tab w:leader="none" w:pos="91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 Distributions</w:t>
      </w:r>
      <w:r>
        <w:rPr>
          <w:rFonts w:ascii="Times New Roman" w:cs="Times New Roman" w:eastAsia="Times New Roman" w:hAnsi="Times New Roman"/>
          <w:sz w:val="18"/>
          <w:szCs w:val="18"/>
          <w:color w:val="auto"/>
        </w:rPr>
        <w:t>: Upon the timely receipt by the Depositary of a notice from the Company that it intends to make a distribution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jc w:val="both"/>
        <w:ind w:firstLine="656"/>
        <w:spacing w:after="0" w:line="256" w:lineRule="auto"/>
        <w:tabs>
          <w:tab w:leader="none" w:pos="8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6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according to paragraph (16)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5"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reasonably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00" w:lineRule="exact"/>
        <w:rPr>
          <w:sz w:val="20"/>
          <w:szCs w:val="20"/>
          <w:color w:val="auto"/>
        </w:rPr>
      </w:pPr>
    </w:p>
    <w:p>
      <w:pPr>
        <w:spacing w:after="0" w:line="20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0" w:name="page81"/>
    <w:bookmarkEnd w:id="80"/>
    <w:p>
      <w:pPr>
        <w:jc w:val="both"/>
        <w:ind w:firstLine="656"/>
        <w:spacing w:after="0" w:line="254" w:lineRule="auto"/>
        <w:tabs>
          <w:tab w:leader="none" w:pos="8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the Deposit Agreement. If the Depositary is unable to sell such property, the Depositary may dispose of such property for the account of the Holders in any way it deems reasonably practicable under the circumstances.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jc w:val="both"/>
        <w:ind w:firstLine="656"/>
        <w:spacing w:after="0" w:line="252" w:lineRule="auto"/>
        <w:tabs>
          <w:tab w:leader="none" w:pos="144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timely receipt of notice from the Company that it intends to exercise its right of redemption in respect of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both"/>
        <w:ind w:firstLine="656"/>
        <w:spacing w:after="0" w:line="254" w:lineRule="auto"/>
        <w:tabs>
          <w:tab w:leader="none" w:pos="1591"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164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or deemed to have been given in accordance with this Section 4.10 if no instructions are received or if the voting instructions from a Holder fails to specify the manner in which the Depositary is to vote the Deposited Securities represented by such Holder’s ADSs prior to the deadline for such purposes to the Depositary to give a proxy to a person designated by the Company. Notwithstanding anything contained in the Deposit Agreement to the contrary, in the event the Company fails to timely request that the Depositary distribute the information as provided for in this Section 4.10, the Depositary agrees, following receipt of notice of the applicable meeting or solicitation of consents or proxies and, if the Depositary requests, reasonable and prompt consultation between the Company and the Depositary, to use commercially reasonable efforts to perform the actions contemplated in this Section 4.10, and the Company, the Holders and the Beneficial Owners acknowledge that the Depositary shall have no liability for the Depositary’s failure to perform the actions contemplated in this Section 4.10 where such notice has not been so timely given, other than its failure to use commercially reasonable efforts, if required, as provided herein.</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2" w:name="page83"/>
    <w:bookmarkEnd w:id="8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in effect on the date of the Deposit Agreement, a poll may be demanded by (a) the chairman of the meeting, or (b) any shareholders present in person or by proxy and having the right to vote on the resolution.</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Times New Roman" w:cs="Times New Roman" w:eastAsia="Times New Roman" w:hAnsi="Times New Roman"/>
          <w:sz w:val="18"/>
          <w:szCs w:val="18"/>
          <w:i w:val="1"/>
          <w:iCs w:val="1"/>
          <w:color w:val="auto"/>
        </w:rPr>
        <w:t>in the event voting takes place at a shareholders’ meeting by a show of hands</w:t>
      </w:r>
      <w:r>
        <w:rPr>
          <w:rFonts w:ascii="Times New Roman" w:cs="Times New Roman" w:eastAsia="Times New Roman" w:hAnsi="Times New Roman"/>
          <w:sz w:val="18"/>
          <w:szCs w:val="18"/>
          <w:color w:val="auto"/>
        </w:rPr>
        <w:t xml:space="preserve">, the Depositary will instruct the Custodian to refrain from voting and the voting instructions (or the deemed voting instructions, as set out herein) received from Holders of ADSs shall lapse, and (b) </w:t>
      </w:r>
      <w:r>
        <w:rPr>
          <w:rFonts w:ascii="Times New Roman" w:cs="Times New Roman" w:eastAsia="Times New Roman" w:hAnsi="Times New Roman"/>
          <w:sz w:val="18"/>
          <w:szCs w:val="18"/>
          <w:i w:val="1"/>
          <w:iCs w:val="1"/>
          <w:color w:val="auto"/>
        </w:rPr>
        <w:t>in the event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takes place at a shareholders’ meeting by poll</w:t>
      </w:r>
      <w:r>
        <w:rPr>
          <w:rFonts w:ascii="Times New Roman" w:cs="Times New Roman" w:eastAsia="Times New Roman" w:hAnsi="Times New Roman"/>
          <w:sz w:val="18"/>
          <w:szCs w:val="18"/>
          <w:color w:val="auto"/>
        </w:rPr>
        <w:t>, the Depositary will instruct the Custodian to vote the Deposited Securities in accordance with the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instructions timely received from the Holders of ADSs or as otherwise contemplated herein.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proxy to a person designated by the Company to vote the Deposited Securities in a manner consistent with the recommendation(s) made by the Company’s board of directors as set forth in the proxy statement or other voting materials in connection with the matter(s) submitted for voting;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9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Deposited Securities represented by ADSs for which no timely voting instructions are received by the Depositary from the Holder shall not be voted (except (a) in the case voting is by show of hands, in which case the Depositary will instruct the Custodian to refrain from voting, and (b) as otherwise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give a proxy to a person designated by the Company to vote the Deposited Securities in a manner consistent with the recommendation(s) made by the Company’s board of directors as set forth in the proxy statement or other voting materials in connection with the matter(s) submitted for voting;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addressing any actions requested to be taken if so requested by the Depositary. There can be no assurance that Holders generally or any Holder in particular will receive the notice described above with sufficient time to enable the Holder to return voting instructions to the Depositary in a timely manner.</w:t>
      </w:r>
    </w:p>
    <w:p>
      <w:pPr>
        <w:spacing w:after="0" w:line="28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4" w:name="page85"/>
    <w:bookmarkEnd w:id="84"/>
    <w:p>
      <w:pPr>
        <w:jc w:val="both"/>
        <w:ind w:firstLine="656"/>
        <w:spacing w:after="0" w:line="253" w:lineRule="auto"/>
        <w:tabs>
          <w:tab w:leader="none" w:pos="1483"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jc w:val="both"/>
        <w:ind w:firstLine="8"/>
        <w:spacing w:after="0" w:line="250" w:lineRule="auto"/>
        <w:tabs>
          <w:tab w:leader="none" w:pos="2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w:t>
      </w:r>
    </w:p>
    <w:p>
      <w:pPr>
        <w:spacing w:after="0" w:line="2" w:lineRule="exact"/>
        <w:rPr>
          <w:rFonts w:ascii="Times New Roman" w:cs="Times New Roman" w:eastAsia="Times New Roman" w:hAnsi="Times New Roman"/>
          <w:sz w:val="18"/>
          <w:szCs w:val="18"/>
          <w:color w:val="auto"/>
        </w:rPr>
      </w:pPr>
    </w:p>
    <w:p>
      <w:pPr>
        <w:jc w:val="both"/>
        <w:ind w:firstLine="8"/>
        <w:spacing w:after="0" w:line="265" w:lineRule="auto"/>
        <w:tabs>
          <w:tab w:leader="none" w:pos="24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ind w:left="280" w:hanging="272"/>
        <w:spacing w:after="0"/>
        <w:tabs>
          <w:tab w:leader="none" w:pos="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exposure or loss incurred in connection with such sale, or (iii) any liability to the purchaser of such Deposited Property.</w:t>
      </w:r>
    </w:p>
    <w:p>
      <w:pPr>
        <w:spacing w:after="0" w:line="202" w:lineRule="exact"/>
        <w:rPr>
          <w:rFonts w:ascii="Times New Roman" w:cs="Times New Roman" w:eastAsia="Times New Roman" w:hAnsi="Times New Roman"/>
          <w:sz w:val="18"/>
          <w:szCs w:val="18"/>
          <w:color w:val="auto"/>
        </w:rPr>
      </w:pPr>
    </w:p>
    <w:p>
      <w:pPr>
        <w:jc w:val="both"/>
        <w:ind w:firstLine="656"/>
        <w:spacing w:after="0" w:line="252" w:lineRule="auto"/>
        <w:tabs>
          <w:tab w:leader="none" w:pos="1564"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obligated to do or perform any act which is inconsistent with the provisions of the Deposit Agreement or incur any liability (to the extent not limited by paragraph (25) hereof) (i) if the Depositary, the Custodian, the Company or their respective agents shall be prevented or forbidden from,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jc w:val="both"/>
        <w:ind w:firstLine="656"/>
        <w:spacing w:after="0" w:line="255" w:lineRule="auto"/>
        <w:tabs>
          <w:tab w:leader="none" w:pos="151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reasonably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6" w:name="page87"/>
    <w:bookmarkEnd w:id="8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jc w:val="both"/>
        <w:ind w:firstLine="656"/>
        <w:spacing w:after="0" w:line="252" w:lineRule="auto"/>
        <w:tabs>
          <w:tab w:leader="none" w:pos="1577"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commercially reasonable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3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84" w:lineRule="exact"/>
        <w:rPr>
          <w:rFonts w:ascii="Times New Roman" w:cs="Times New Roman" w:eastAsia="Times New Roman" w:hAnsi="Times New Roman"/>
          <w:sz w:val="18"/>
          <w:szCs w:val="18"/>
          <w:color w:val="auto"/>
        </w:rPr>
      </w:pPr>
    </w:p>
    <w:p>
      <w:pPr>
        <w:jc w:val="both"/>
        <w:ind w:firstLine="656"/>
        <w:spacing w:after="0" w:line="252" w:lineRule="auto"/>
        <w:tabs>
          <w:tab w:leader="none" w:pos="1564"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jc w:val="both"/>
        <w:ind w:firstLine="656"/>
        <w:spacing w:after="0" w:line="259" w:lineRule="auto"/>
        <w:tabs>
          <w:tab w:leader="none" w:pos="1726"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jc w:val="both"/>
        <w:ind w:firstLine="8"/>
        <w:spacing w:after="0" w:line="250" w:lineRule="auto"/>
        <w:tabs>
          <w:tab w:leader="none" w:pos="27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8" w:name="page89"/>
    <w:bookmarkEnd w:id="8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jc w:val="both"/>
        <w:ind w:firstLine="656"/>
        <w:spacing w:after="0" w:line="268" w:lineRule="auto"/>
        <w:tabs>
          <w:tab w:leader="none" w:pos="151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jc w:val="both"/>
        <w:ind w:firstLine="656"/>
        <w:spacing w:after="0" w:line="266" w:lineRule="auto"/>
        <w:tabs>
          <w:tab w:leader="none" w:pos="12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jc w:val="both"/>
        <w:ind w:firstLine="656"/>
        <w:spacing w:after="0" w:line="253" w:lineRule="auto"/>
        <w:tabs>
          <w:tab w:leader="none" w:pos="1442"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Third-Party Beneficiaries/Acknowledgements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8"/>
          <w:szCs w:val="18"/>
          <w:b w:val="1"/>
          <w:bCs w:val="1"/>
          <w:color w:val="auto"/>
        </w:rPr>
      </w:pPr>
    </w:p>
    <w:p>
      <w:pPr>
        <w:jc w:val="both"/>
        <w:ind w:firstLine="8"/>
        <w:spacing w:after="0" w:line="251" w:lineRule="auto"/>
        <w:tabs>
          <w:tab w:leader="none" w:pos="31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jc w:val="both"/>
        <w:ind w:firstLine="656"/>
        <w:spacing w:after="0" w:line="257" w:lineRule="auto"/>
        <w:tabs>
          <w:tab w:leader="none" w:pos="1442"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tc>
        <w:tc>
          <w:tcPr>
            <w:tcW w:w="6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47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47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4760" w:type="dxa"/>
            <w:vAlign w:val="bottom"/>
            <w:vMerge w:val="continue"/>
          </w:tcPr>
          <w:p>
            <w:pPr>
              <w:spacing w:after="0"/>
              <w:rPr>
                <w:sz w:val="17"/>
                <w:szCs w:val="17"/>
                <w:color w:val="auto"/>
              </w:rPr>
            </w:pPr>
          </w:p>
        </w:tc>
        <w:tc>
          <w:tcPr>
            <w:tcW w:w="6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648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4760" w:type="dxa"/>
            <w:vAlign w:val="bottom"/>
          </w:tcPr>
          <w:p>
            <w:pPr>
              <w:spacing w:after="0"/>
              <w:rPr>
                <w:sz w:val="17"/>
                <w:szCs w:val="17"/>
                <w:color w:val="auto"/>
              </w:rPr>
            </w:pPr>
          </w:p>
        </w:tc>
        <w:tc>
          <w:tcPr>
            <w:tcW w:w="6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p>
        </w:tc>
        <w:tc>
          <w:tcPr>
            <w:tcW w:w="64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4"/>
                <w:szCs w:val="24"/>
                <w:color w:val="auto"/>
              </w:rPr>
            </w:pP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Legends</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2"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change in the ADS(s)-to-Share(s)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of securities other than ADSs or</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ADS Services.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300" w:type="dxa"/>
            <w:vAlign w:val="bottom"/>
            <w:tcBorders>
              <w:lef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00" w:type="dxa"/>
            <w:vAlign w:val="bottom"/>
            <w:tcBorders>
              <w:lef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2"/>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0"/>
        </w:trPr>
        <w:tc>
          <w:tcPr>
            <w:tcW w:w="300" w:type="dxa"/>
            <w:vAlign w:val="bottom"/>
            <w:tcBorders>
              <w:lef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(8)</w:t>
            </w:r>
          </w:p>
        </w:tc>
        <w:tc>
          <w:tcPr>
            <w:tcW w:w="35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Person for whom ADSs are converted or to</w:t>
            </w:r>
          </w:p>
        </w:tc>
      </w:tr>
      <w:tr>
        <w:trPr>
          <w:trHeight w:val="218"/>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whom the converted ADSs are delivered.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2" w:name="page93"/>
    <w:bookmarkEnd w:id="92"/>
    <w:p>
      <w:pPr>
        <w:ind w:left="660" w:hanging="652"/>
        <w:spacing w:after="0"/>
        <w:tabs>
          <w:tab w:leader="none" w:pos="6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fees and charges may at any time and from time to time be changed by agreement between the Company and the Depositary.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17145</wp:posOffset>
            </wp:positionV>
            <wp:extent cx="5349240" cy="11315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4924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 – ADR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refer to the Registration Statement on Form F-6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by the legal entity created by the Deposit Agreement (as hereinafter defined) for the purpose of registering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200,000,000 American Depositary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to be issued under the Deposit Agreement, by and among Citibank, N.A., as Depositary, QuantaSing Group Limited, an exempted company incorporated with limited liability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Holders and Beneficial Owners (each as defined in the Deposit Agreement and hereinafter used as so defined) from time to time of ADSs issued thereunder, as amended and supplemented, (the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which is being filed as Exhibit (a) to the Registration Statement. Each ADS will represent, subject to the terms and conditions of the Deposit Agreement and, if applicable, the American Depositary Receipt (the “</w:t>
      </w:r>
      <w:r>
        <w:rPr>
          <w:rFonts w:ascii="Times New Roman" w:cs="Times New Roman" w:eastAsia="Times New Roman" w:hAnsi="Times New Roman"/>
          <w:sz w:val="18"/>
          <w:szCs w:val="18"/>
          <w:u w:val="single" w:color="auto"/>
          <w:color w:val="auto"/>
        </w:rPr>
        <w:t>ADR</w:t>
      </w:r>
      <w:r>
        <w:rPr>
          <w:rFonts w:ascii="Times New Roman" w:cs="Times New Roman" w:eastAsia="Times New Roman" w:hAnsi="Times New Roman"/>
          <w:sz w:val="18"/>
          <w:szCs w:val="18"/>
          <w:color w:val="auto"/>
        </w:rPr>
        <w:t>”) evidencing such ADSs, the right to receive the number of the Company’s Class A ordinary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specified in the Deposit Agreement and the applicable form of ADR attached thereto.</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7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PATTERSON BELKNAP WEBB &amp; TYLER LLP</w:t>
      </w:r>
    </w:p>
    <w:p>
      <w:pPr>
        <w:spacing w:after="0" w:line="229" w:lineRule="exact"/>
        <w:rPr>
          <w:sz w:val="20"/>
          <w:szCs w:val="20"/>
          <w:color w:val="auto"/>
        </w:rPr>
      </w:pPr>
    </w:p>
    <w:p>
      <w:pPr>
        <w:ind w:left="6320"/>
        <w:spacing w:after="0"/>
        <w:tabs>
          <w:tab w:leader="none" w:pos="6800" w:val="left"/>
        </w:tabs>
        <w:rPr>
          <w:sz w:val="20"/>
          <w:szCs w:val="20"/>
          <w:color w:val="auto"/>
        </w:rPr>
      </w:pPr>
      <w:r>
        <w:rPr>
          <w:rFonts w:ascii="Times New Roman" w:cs="Times New Roman" w:eastAsia="Times New Roman" w:hAnsi="Times New Roman"/>
          <w:sz w:val="18"/>
          <w:szCs w:val="18"/>
          <w:color w:val="auto"/>
        </w:rPr>
        <w:t>By:</w:t>
        <w:tab/>
        <w:t>/s/ Herman H. Raspe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8117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 Member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219710</wp:posOffset>
            </wp:positionV>
            <wp:extent cx="5597525" cy="4883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97525" cy="48831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decimal"/>
      <w:start w:val="1"/>
    </w:lvl>
  </w:abstractNum>
  <w:abstractNum w:abstractNumId="2">
    <w:nsid w:val="5577F8E1"/>
    <w:multiLevelType w:val="hybridMultilevel"/>
    <w:lvl w:ilvl="0">
      <w:lvlJc w:val="left"/>
      <w:lvlText w:val="(%1)"/>
      <w:numFmt w:val="lowerRoman"/>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lowerLetter"/>
      <w:start w:val="1"/>
    </w:lvl>
  </w:abstractNum>
  <w:abstractNum w:abstractNumId="7">
    <w:nsid w:val="7724C67E"/>
    <w:multiLevelType w:val="hybridMultilevel"/>
    <w:lvl w:ilvl="0">
      <w:lvlJc w:val="left"/>
      <w:lvlText w:val="%1"/>
      <w:numFmt w:val="lowerLetter"/>
      <w:start w:val="1"/>
    </w:lvl>
    <w:lvl w:ilvl="1">
      <w:lvlJc w:val="left"/>
      <w:lvlText w:val="(%2)"/>
      <w:numFmt w:val="lowerLetter"/>
      <w:start w:val="2"/>
    </w:lvl>
  </w:abstractNum>
  <w:abstractNum w:abstractNumId="8">
    <w:nsid w:val="5C482A97"/>
    <w:multiLevelType w:val="hybridMultilevel"/>
    <w:lvl w:ilvl="0">
      <w:lvlJc w:val="left"/>
      <w:lvlText w:val="(%1)"/>
      <w:numFmt w:val="lowerLetter"/>
      <w:start w:val="35"/>
    </w:lvl>
    <w:lvl w:ilvl="1">
      <w:lvlJc w:val="left"/>
      <w:lvlText w:val="(%2)"/>
      <w:numFmt w:val="lowerLetter"/>
      <w:start w:val="3"/>
    </w:lvl>
  </w:abstractNum>
  <w:abstractNum w:abstractNumId="9">
    <w:nsid w:val="2463B9EA"/>
    <w:multiLevelType w:val="hybridMultilevel"/>
    <w:lvl w:ilvl="0">
      <w:lvlJc w:val="left"/>
      <w:lvlText w:val="(%1)"/>
      <w:numFmt w:val="lowerLetter"/>
      <w:start w:val="1"/>
    </w:lvl>
  </w:abstractNum>
  <w:abstractNum w:abstractNumId="10">
    <w:nsid w:val="5E884ADC"/>
    <w:multiLevelType w:val="hybridMultilevel"/>
    <w:lvl w:ilvl="0">
      <w:lvlJc w:val="left"/>
      <w:lvlText w:val="(%1)"/>
      <w:numFmt w:val="lowerLetter"/>
      <w:start w:val="2"/>
    </w:lvl>
  </w:abstractNum>
  <w:abstractNum w:abstractNumId="11">
    <w:nsid w:val="51EAD36B"/>
    <w:multiLevelType w:val="hybridMultilevel"/>
    <w:lvl w:ilvl="0">
      <w:lvlJc w:val="left"/>
      <w:lvlText w:val="%1"/>
      <w:numFmt w:val="upperLetter"/>
      <w:start w:val="1"/>
    </w:lvl>
    <w:lvl w:ilvl="1">
      <w:lvlJc w:val="left"/>
      <w:lvlText w:val="(%2)"/>
      <w:numFmt w:val="lowerLetter"/>
      <w:start w:val="1"/>
    </w:lvl>
  </w:abstractNum>
  <w:abstractNum w:abstractNumId="12">
    <w:nsid w:val="2D517796"/>
    <w:multiLevelType w:val="hybridMultilevel"/>
    <w:lvl w:ilvl="0">
      <w:lvlJc w:val="left"/>
      <w:lvlText w:val="(%1)"/>
      <w:numFmt w:val="upperLetter"/>
      <w:start w:val="2"/>
    </w:lvl>
    <w:lvl w:ilvl="1">
      <w:lvlJc w:val="left"/>
      <w:lvlText w:val="%2"/>
      <w:numFmt w:val="lowerLetter"/>
      <w:start w:val="1"/>
    </w:lvl>
  </w:abstractNum>
  <w:abstractNum w:abstractNumId="13">
    <w:nsid w:val="580BD78F"/>
    <w:multiLevelType w:val="hybridMultilevel"/>
    <w:lvl w:ilvl="0">
      <w:lvlJc w:val="left"/>
      <w:lvlText w:val="(%1)"/>
      <w:numFmt w:val="lowerLetter"/>
      <w:start w:val="2"/>
    </w:lvl>
  </w:abstractNum>
  <w:abstractNum w:abstractNumId="14">
    <w:nsid w:val="153EA438"/>
    <w:multiLevelType w:val="hybridMultilevel"/>
    <w:lvl w:ilvl="0">
      <w:lvlJc w:val="left"/>
      <w:lvlText w:val="(%1)"/>
      <w:numFmt w:val="lowerLetter"/>
      <w:start w:val="2"/>
    </w:lvl>
  </w:abstractNum>
  <w:abstractNum w:abstractNumId="15">
    <w:nsid w:val="3855585C"/>
    <w:multiLevelType w:val="hybridMultilevel"/>
    <w:lvl w:ilvl="0">
      <w:lvlJc w:val="left"/>
      <w:lvlText w:val="(%1)"/>
      <w:numFmt w:val="lowerRoman"/>
      <w:start w:val="2"/>
    </w:lvl>
  </w:abstractNum>
  <w:abstractNum w:abstractNumId="16">
    <w:nsid w:val="70A64E2A"/>
    <w:multiLevelType w:val="hybridMultilevel"/>
    <w:lvl w:ilvl="0">
      <w:lvlJc w:val="left"/>
      <w:lvlText w:val="(%1)"/>
      <w:numFmt w:val="lowerRoman"/>
      <w:start w:val="3"/>
    </w:lvl>
  </w:abstractNum>
  <w:abstractNum w:abstractNumId="17">
    <w:nsid w:val="6A2342EC"/>
    <w:multiLevelType w:val="hybridMultilevel"/>
    <w:lvl w:ilvl="0">
      <w:lvlJc w:val="left"/>
      <w:lvlText w:val="(%1)"/>
      <w:numFmt w:val="lowerLetter"/>
      <w:start w:val="1"/>
    </w:lvl>
  </w:abstractNum>
  <w:abstractNum w:abstractNumId="18">
    <w:nsid w:val="2A487CB0"/>
    <w:multiLevelType w:val="hybridMultilevel"/>
    <w:lvl w:ilvl="0">
      <w:lvlJc w:val="left"/>
      <w:lvlText w:val="(%1)"/>
      <w:numFmt w:val="lowerLetter"/>
      <w:start w:val="2"/>
    </w:lvl>
  </w:abstractNum>
  <w:abstractNum w:abstractNumId="19">
    <w:nsid w:val="1D4ED43B"/>
    <w:multiLevelType w:val="hybridMultilevel"/>
    <w:lvl w:ilvl="0">
      <w:lvlJc w:val="left"/>
      <w:lvlText w:val="(%1)"/>
      <w:numFmt w:val="lowerLetter"/>
      <w:start w:val="1"/>
    </w:lvl>
  </w:abstractNum>
  <w:abstractNum w:abstractNumId="20">
    <w:nsid w:val="725A06FB"/>
    <w:multiLevelType w:val="hybridMultilevel"/>
    <w:lvl w:ilvl="0">
      <w:lvlJc w:val="left"/>
      <w:lvlText w:val="(%1)"/>
      <w:numFmt w:val="lowerLetter"/>
      <w:start w:val="3"/>
    </w:lvl>
  </w:abstractNum>
  <w:abstractNum w:abstractNumId="21">
    <w:nsid w:val="2CD89A32"/>
    <w:multiLevelType w:val="hybridMultilevel"/>
    <w:lvl w:ilvl="0">
      <w:lvlJc w:val="left"/>
      <w:lvlText w:val="(%1)"/>
      <w:numFmt w:val="lowerRoman"/>
      <w:start w:val="2"/>
    </w:lvl>
  </w:abstractNum>
  <w:abstractNum w:abstractNumId="22">
    <w:nsid w:val="57E4CCAF"/>
    <w:multiLevelType w:val="hybridMultilevel"/>
    <w:lvl w:ilvl="0">
      <w:lvlJc w:val="left"/>
      <w:lvlText w:val="(%1)"/>
      <w:numFmt w:val="lowerRoman"/>
      <w:start w:val="1"/>
    </w:lvl>
  </w:abstractNum>
  <w:abstractNum w:abstractNumId="23">
    <w:nsid w:val="7A6D8D3C"/>
    <w:multiLevelType w:val="hybridMultilevel"/>
    <w:lvl w:ilvl="0">
      <w:lvlJc w:val="left"/>
      <w:lvlText w:val="(%1)"/>
      <w:numFmt w:val="lowerRoman"/>
      <w:start w:val="3"/>
    </w:lvl>
  </w:abstractNum>
  <w:abstractNum w:abstractNumId="24">
    <w:nsid w:val="4B588F54"/>
    <w:multiLevelType w:val="hybridMultilevel"/>
    <w:lvl w:ilvl="0">
      <w:lvlJc w:val="left"/>
      <w:lvlText w:val="(%1)"/>
      <w:numFmt w:val="lowerRoman"/>
      <w:start w:val="1"/>
    </w:lvl>
  </w:abstractNum>
  <w:abstractNum w:abstractNumId="25">
    <w:nsid w:val="542289EC"/>
    <w:multiLevelType w:val="hybridMultilevel"/>
    <w:lvl w:ilvl="0">
      <w:lvlJc w:val="left"/>
      <w:lvlText w:val="(%1)"/>
      <w:numFmt w:val="lowerRoman"/>
      <w:start w:val="2"/>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lowerLetter"/>
      <w:start w:val="1"/>
    </w:lvl>
  </w:abstractNum>
  <w:abstractNum w:abstractNumId="29">
    <w:nsid w:val="32FFF902"/>
    <w:multiLevelType w:val="hybridMultilevel"/>
    <w:lvl w:ilvl="0">
      <w:lvlJc w:val="left"/>
      <w:lvlText w:val="(%1)"/>
      <w:numFmt w:val="lowerLetter"/>
      <w:start w:val="2"/>
    </w:lvl>
  </w:abstractNum>
  <w:abstractNum w:abstractNumId="30">
    <w:nsid w:val="684A481A"/>
    <w:multiLevelType w:val="hybridMultilevel"/>
    <w:lvl w:ilvl="0">
      <w:lvlJc w:val="left"/>
      <w:lvlText w:val="%1"/>
      <w:numFmt w:val="lowerLetter"/>
      <w:start w:val="1"/>
    </w:lvl>
    <w:lvl w:ilvl="1">
      <w:lvlJc w:val="left"/>
      <w:lvlText w:val="(%2)"/>
      <w:numFmt w:val="decimal"/>
      <w:start w:val="1"/>
    </w:lvl>
  </w:abstractNum>
  <w:abstractNum w:abstractNumId="31">
    <w:nsid w:val="579478FE"/>
    <w:multiLevelType w:val="hybridMultilevel"/>
    <w:lvl w:ilvl="0">
      <w:lvlJc w:val="left"/>
      <w:lvlText w:val="(%1)"/>
      <w:numFmt w:val="lowerLetter"/>
      <w:start w:val="2"/>
    </w:lvl>
    <w:lvl w:ilvl="1">
      <w:lvlJc w:val="left"/>
      <w:lvlText w:val="%2"/>
      <w:numFmt w:val="decimal"/>
      <w:start w:val="1"/>
    </w:lvl>
  </w:abstractNum>
  <w:abstractNum w:abstractNumId="32">
    <w:nsid w:val="749ABB43"/>
    <w:multiLevelType w:val="hybridMultilevel"/>
    <w:lvl w:ilvl="0">
      <w:lvlJc w:val="left"/>
      <w:lvlText w:val="%1"/>
      <w:numFmt w:val="lowerRoman"/>
      <w:start w:val="1"/>
    </w:lvl>
    <w:lvl w:ilvl="1">
      <w:lvlJc w:val="left"/>
      <w:lvlText w:val="(%2)"/>
      <w:numFmt w:val="decimal"/>
      <w:start w:val="2"/>
    </w:lvl>
  </w:abstractNum>
  <w:abstractNum w:abstractNumId="33">
    <w:nsid w:val="3DC240FB"/>
    <w:multiLevelType w:val="hybridMultilevel"/>
    <w:lvl w:ilvl="0">
      <w:lvlJc w:val="left"/>
      <w:lvlText w:val="(%1)"/>
      <w:numFmt w:val="lowerRoman"/>
      <w:start w:val="3"/>
    </w:lvl>
    <w:lvl w:ilvl="1">
      <w:lvlJc w:val="left"/>
      <w:lvlText w:val="%2"/>
      <w:numFmt w:val="decimal"/>
      <w:start w:val="1"/>
    </w:lvl>
  </w:abstractNum>
  <w:abstractNum w:abstractNumId="34">
    <w:nsid w:val="1BA026FA"/>
    <w:multiLevelType w:val="hybridMultilevel"/>
    <w:lvl w:ilvl="0">
      <w:lvlJc w:val="left"/>
      <w:lvlText w:val="%1"/>
      <w:numFmt w:val="lowerRoman"/>
      <w:start w:val="1"/>
    </w:lvl>
    <w:lvl w:ilvl="1">
      <w:lvlJc w:val="left"/>
      <w:lvlText w:val="(%2)"/>
      <w:numFmt w:val="decimal"/>
      <w:start w:val="3"/>
    </w:lvl>
  </w:abstractNum>
  <w:abstractNum w:abstractNumId="35">
    <w:nsid w:val="79A1DEAA"/>
    <w:multiLevelType w:val="hybridMultilevel"/>
    <w:lvl w:ilvl="0">
      <w:lvlJc w:val="left"/>
      <w:lvlText w:val="(%1)"/>
      <w:numFmt w:val="lowerRoman"/>
      <w:start w:val="1"/>
    </w:lvl>
    <w:lvl w:ilvl="1">
      <w:lvlJc w:val="left"/>
      <w:lvlText w:val="%2"/>
      <w:numFmt w:val="decimal"/>
      <w:start w:val="1"/>
    </w:lvl>
  </w:abstractNum>
  <w:abstractNum w:abstractNumId="36">
    <w:nsid w:val="75C6C33A"/>
    <w:multiLevelType w:val="hybridMultilevel"/>
    <w:lvl w:ilvl="0">
      <w:lvlJc w:val="left"/>
      <w:lvlText w:val="(%1)"/>
      <w:numFmt w:val="lowerRoman"/>
      <w:start w:val="2"/>
    </w:lvl>
    <w:lvl w:ilvl="1">
      <w:lvlJc w:val="left"/>
      <w:lvlText w:val="(%2)"/>
      <w:numFmt w:val="decimal"/>
      <w:start w:val="4"/>
    </w:lvl>
  </w:abstractNum>
  <w:abstractNum w:abstractNumId="37">
    <w:nsid w:val="12E685FB"/>
    <w:multiLevelType w:val="hybridMultilevel"/>
    <w:lvl w:ilvl="0">
      <w:lvlJc w:val="left"/>
      <w:lvlText w:val="(%1)"/>
      <w:numFmt w:val="decimal"/>
      <w:start w:val="5"/>
    </w:lvl>
  </w:abstractNum>
  <w:abstractNum w:abstractNumId="38">
    <w:nsid w:val="70C6A529"/>
    <w:multiLevelType w:val="hybridMultilevel"/>
    <w:lvl w:ilvl="0">
      <w:lvlJc w:val="left"/>
      <w:lvlText w:val="(%1)"/>
      <w:numFmt w:val="decimal"/>
      <w:start w:val="7"/>
    </w:lvl>
  </w:abstractNum>
  <w:abstractNum w:abstractNumId="39">
    <w:nsid w:val="520EEDD1"/>
    <w:multiLevelType w:val="hybridMultilevel"/>
    <w:lvl w:ilvl="0">
      <w:lvlJc w:val="left"/>
      <w:lvlText w:val="(%1)"/>
      <w:numFmt w:val="decimal"/>
      <w:start w:val="10"/>
    </w:lvl>
    <w:lvl w:ilvl="1">
      <w:lvlJc w:val="left"/>
      <w:lvlText w:val="(%2)"/>
      <w:numFmt w:val="lowerRoman"/>
      <w:start w:val="1"/>
    </w:lvl>
  </w:abstractNum>
  <w:abstractNum w:abstractNumId="40">
    <w:nsid w:val="374A3FE6"/>
    <w:multiLevelType w:val="hybridMultilevel"/>
    <w:lvl w:ilvl="0">
      <w:lvlJc w:val="left"/>
      <w:lvlText w:val="(%1)"/>
      <w:numFmt w:val="lowerRoman"/>
      <w:start w:val="4"/>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lowerLetter"/>
      <w:start w:val="5"/>
    </w:lvl>
  </w:abstractNum>
  <w:abstractNum w:abstractNumId="43">
    <w:nsid w:val="649BB77C"/>
    <w:multiLevelType w:val="hybridMultilevel"/>
    <w:lvl w:ilvl="0">
      <w:lvlJc w:val="left"/>
      <w:lvlText w:val="(%1)"/>
      <w:numFmt w:val="decimal"/>
      <w:start w:val="12"/>
    </w:lvl>
  </w:abstractNum>
  <w:abstractNum w:abstractNumId="44">
    <w:nsid w:val="275AC794"/>
    <w:multiLevelType w:val="hybridMultilevel"/>
    <w:lvl w:ilvl="0">
      <w:lvlJc w:val="left"/>
      <w:lvlText w:val="(%1)"/>
      <w:numFmt w:val="decimal"/>
      <w:start w:val="15"/>
    </w:lvl>
  </w:abstractNum>
  <w:abstractNum w:abstractNumId="45">
    <w:nsid w:val="39386575"/>
    <w:multiLevelType w:val="hybridMultilevel"/>
    <w:lvl w:ilvl="0">
      <w:lvlJc w:val="left"/>
      <w:lvlText w:val="(%1)"/>
      <w:numFmt w:val="lowerLetter"/>
      <w:start w:val="2"/>
    </w:lvl>
  </w:abstractNum>
  <w:abstractNum w:abstractNumId="46">
    <w:nsid w:val="1CF10FD8"/>
    <w:multiLevelType w:val="hybridMultilevel"/>
    <w:lvl w:ilvl="0">
      <w:lvlJc w:val="left"/>
      <w:lvlText w:val="%1"/>
      <w:numFmt w:val="lowerLetter"/>
      <w:start w:val="1"/>
    </w:lvl>
    <w:lvl w:ilvl="1">
      <w:lvlJc w:val="left"/>
      <w:lvlText w:val="(%2)"/>
      <w:numFmt w:val="lowerLetter"/>
      <w:start w:val="3"/>
    </w:lvl>
  </w:abstractNum>
  <w:abstractNum w:abstractNumId="47">
    <w:nsid w:val="180115BE"/>
    <w:multiLevelType w:val="hybridMultilevel"/>
    <w:lvl w:ilvl="0">
      <w:lvlJc w:val="left"/>
      <w:lvlText w:val="(%1)"/>
      <w:numFmt w:val="lowerLetter"/>
      <w:start w:val="35"/>
    </w:lvl>
    <w:lvl w:ilvl="1">
      <w:lvlJc w:val="left"/>
      <w:lvlText w:val="(%2)"/>
      <w:numFmt w:val="lowerLetter"/>
      <w:start w:val="4"/>
    </w:lvl>
  </w:abstractNum>
  <w:abstractNum w:abstractNumId="48">
    <w:nsid w:val="235BA861"/>
    <w:multiLevelType w:val="hybridMultilevel"/>
    <w:lvl w:ilvl="0">
      <w:lvlJc w:val="left"/>
      <w:lvlText w:val="(%1)"/>
      <w:numFmt w:val="lowerLetter"/>
      <w:start w:val="5"/>
    </w:lvl>
  </w:abstractNum>
  <w:abstractNum w:abstractNumId="49">
    <w:nsid w:val="47398C89"/>
    <w:multiLevelType w:val="hybridMultilevel"/>
    <w:lvl w:ilvl="0">
      <w:lvlJc w:val="left"/>
      <w:lvlText w:val="(%1)"/>
      <w:numFmt w:val="decimal"/>
      <w:start w:val="16"/>
    </w:lvl>
  </w:abstractNum>
  <w:abstractNum w:abstractNumId="50">
    <w:nsid w:val="354FE9F9"/>
    <w:multiLevelType w:val="hybridMultilevel"/>
    <w:lvl w:ilvl="0">
      <w:lvlJc w:val="left"/>
      <w:lvlText w:val="(%1)"/>
      <w:numFmt w:val="decimal"/>
      <w:start w:val="17"/>
    </w:lvl>
  </w:abstractNum>
  <w:abstractNum w:abstractNumId="51">
    <w:nsid w:val="15B5AF5C"/>
    <w:multiLevelType w:val="hybridMultilevel"/>
    <w:lvl w:ilvl="0">
      <w:lvlJc w:val="left"/>
      <w:lvlText w:val="%1"/>
      <w:numFmt w:val="lowerLetter"/>
      <w:start w:val="1"/>
    </w:lvl>
    <w:lvl w:ilvl="1">
      <w:lvlJc w:val="left"/>
      <w:lvlText w:val="(%2)"/>
      <w:numFmt w:val="decimal"/>
      <w:start w:val="19"/>
    </w:lvl>
  </w:abstractNum>
  <w:abstractNum w:abstractNumId="52">
    <w:nsid w:val="741226BB"/>
    <w:multiLevelType w:val="hybridMultilevel"/>
    <w:lvl w:ilvl="0">
      <w:lvlJc w:val="left"/>
      <w:lvlText w:val="(%1)"/>
      <w:numFmt w:val="lowerLetter"/>
      <w:start w:val="35"/>
    </w:lvl>
    <w:lvl w:ilvl="1">
      <w:lvlJc w:val="left"/>
      <w:lvlText w:val="%2"/>
      <w:numFmt w:val="decimal"/>
      <w:start w:val="1"/>
    </w:lvl>
  </w:abstractNum>
  <w:abstractNum w:abstractNumId="53">
    <w:nsid w:val="D34B6A8"/>
    <w:multiLevelType w:val="hybridMultilevel"/>
    <w:lvl w:ilvl="0">
      <w:lvlJc w:val="left"/>
      <w:lvlText w:val="(%1)"/>
      <w:numFmt w:val="lowerLetter"/>
      <w:start w:val="1"/>
    </w:lvl>
    <w:lvl w:ilvl="1">
      <w:lvlJc w:val="left"/>
      <w:lvlText w:val="%2"/>
      <w:numFmt w:val="decimal"/>
      <w:start w:val="1"/>
    </w:lvl>
  </w:abstractNum>
  <w:abstractNum w:abstractNumId="54">
    <w:nsid w:val="10233C99"/>
    <w:multiLevelType w:val="hybridMultilevel"/>
    <w:lvl w:ilvl="0">
      <w:lvlJc w:val="left"/>
      <w:lvlText w:val="(%1)"/>
      <w:numFmt w:val="lowerLetter"/>
      <w:start w:val="35"/>
    </w:lvl>
    <w:lvl w:ilvl="1">
      <w:lvlJc w:val="left"/>
      <w:lvlText w:val="(%2)"/>
      <w:numFmt w:val="decimal"/>
      <w:start w:val="20"/>
    </w:lvl>
  </w:abstractNum>
  <w:abstractNum w:abstractNumId="55">
    <w:nsid w:val="3F6AB60F"/>
    <w:multiLevelType w:val="hybridMultilevel"/>
    <w:lvl w:ilvl="0">
      <w:lvlJc w:val="left"/>
      <w:lvlText w:val="(%1)"/>
      <w:numFmt w:val="decimal"/>
      <w:start w:val="21"/>
    </w:lvl>
  </w:abstractNum>
  <w:abstractNum w:abstractNumId="56">
    <w:nsid w:val="61574095"/>
    <w:multiLevelType w:val="hybridMultilevel"/>
    <w:lvl w:ilvl="0">
      <w:lvlJc w:val="left"/>
      <w:lvlText w:val="%1"/>
      <w:numFmt w:val="lowerRoman"/>
      <w:start w:val="1"/>
    </w:lvl>
    <w:lvl w:ilvl="1">
      <w:lvlJc w:val="left"/>
      <w:lvlText w:val="(%2)"/>
      <w:numFmt w:val="decimal"/>
      <w:start w:val="22"/>
    </w:lvl>
  </w:abstractNum>
  <w:abstractNum w:abstractNumId="57">
    <w:nsid w:val="7E0C57B1"/>
    <w:multiLevelType w:val="hybridMultilevel"/>
    <w:lvl w:ilvl="0">
      <w:lvlJc w:val="left"/>
      <w:lvlText w:val="(%1)"/>
      <w:numFmt w:val="lowerRoman"/>
      <w:start w:val="3"/>
    </w:lvl>
    <w:lvl w:ilvl="1">
      <w:lvlJc w:val="left"/>
      <w:lvlText w:val="(%2)"/>
      <w:numFmt w:val="decimal"/>
      <w:start w:val="23"/>
    </w:lvl>
  </w:abstractNum>
  <w:abstractNum w:abstractNumId="58">
    <w:nsid w:val="77AE35EB"/>
    <w:multiLevelType w:val="hybridMultilevel"/>
    <w:lvl w:ilvl="0">
      <w:lvlJc w:val="left"/>
      <w:lvlText w:val="%1"/>
      <w:numFmt w:val="lowerRoman"/>
      <w:start w:val="1"/>
    </w:lvl>
    <w:lvl w:ilvl="1">
      <w:lvlJc w:val="left"/>
      <w:lvlText w:val="(%2)"/>
      <w:numFmt w:val="decimal"/>
      <w:start w:val="24"/>
    </w:lvl>
  </w:abstractNum>
  <w:abstractNum w:abstractNumId="59">
    <w:nsid w:val="579BE4F1"/>
    <w:multiLevelType w:val="hybridMultilevel"/>
    <w:lvl w:ilvl="0">
      <w:lvlJc w:val="left"/>
      <w:lvlText w:val="(%1)"/>
      <w:numFmt w:val="lowerRoman"/>
      <w:start w:val="2"/>
    </w:lvl>
    <w:lvl w:ilvl="1">
      <w:lvlJc w:val="left"/>
      <w:lvlText w:val="%2"/>
      <w:numFmt w:val="decimal"/>
      <w:start w:val="1"/>
    </w:lvl>
  </w:abstractNum>
  <w:abstractNum w:abstractNumId="60">
    <w:nsid w:val="310C50B3"/>
    <w:multiLevelType w:val="hybridMultilevel"/>
    <w:lvl w:ilvl="0">
      <w:lvlJc w:val="left"/>
      <w:lvlText w:val="(%1)"/>
      <w:numFmt w:val="decimal"/>
      <w:start w:val="25"/>
    </w:lvl>
  </w:abstractNum>
  <w:abstractNum w:abstractNumId="61">
    <w:nsid w:val="5FF87E05"/>
    <w:multiLevelType w:val="hybridMultilevel"/>
    <w:lvl w:ilvl="0">
      <w:lvlJc w:val="left"/>
      <w:lvlText w:val="(%1)"/>
      <w:numFmt w:val="lowerLetter"/>
      <w:start w:val="2"/>
    </w:lvl>
  </w:abstractNum>
  <w:abstractNum w:abstractNumId="62">
    <w:nsid w:val="2F305DEF"/>
    <w:multiLevelType w:val="hybridMultilevel"/>
    <w:lvl w:ilvl="0">
      <w:lvlJc w:val="left"/>
      <w:lvlText w:val="%1"/>
      <w:numFmt w:val="lowerRoman"/>
      <w:start w:val="1"/>
    </w:lvl>
    <w:lvl w:ilvl="1">
      <w:lvlJc w:val="left"/>
      <w:lvlText w:val="(%2)"/>
      <w:numFmt w:val="decimal"/>
      <w:start w:val="26"/>
    </w:lvl>
  </w:abstractNum>
  <w:abstractNum w:abstractNumId="63">
    <w:nsid w:val="25A70BF7"/>
    <w:multiLevelType w:val="hybridMultilevel"/>
    <w:lvl w:ilvl="0">
      <w:lvlJc w:val="left"/>
      <w:lvlText w:val="(%1)"/>
      <w:numFmt w:val="lowerRoman"/>
      <w:start w:val="4"/>
    </w:lvl>
    <w:lvl w:ilvl="1">
      <w:lvlJc w:val="left"/>
      <w:lvlText w:val="(%2)"/>
      <w:numFmt w:val="decimal"/>
      <w:start w:val="27"/>
    </w:lvl>
  </w:abstractNum>
  <w:abstractNum w:abstractNumId="64">
    <w:nsid w:val="1DBABF00"/>
    <w:multiLevelType w:val="hybridMultilevel"/>
    <w:lvl w:ilvl="0">
      <w:lvlJc w:val="left"/>
      <w:lvlText w:val="%1."/>
      <w:numFmt w:val="upperLetter"/>
      <w:start w:val="9"/>
    </w:lvl>
  </w:abstractNum>
  <w:abstractNum w:abstractNumId="65">
    <w:nsid w:val="4AD084E9"/>
    <w:multiLevelType w:val="hybridMultilevel"/>
    <w:lvl w:ilvl="0">
      <w:lvlJc w:val="left"/>
      <w:lvlText w:val="%1."/>
      <w:numFmt w:val="upperLetter"/>
      <w:start w:val="35"/>
    </w:lvl>
  </w:abstractNum>
  <w:abstractNum w:abstractNumId="66">
    <w:nsid w:val="1F48EAA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2022-12-23T09:36:41Z</dcterms:created>
  <dcterms:modified xsi:type="dcterms:W3CDTF">2022-12-23T09:36:41Z</dcterms:modified>
</cp:coreProperties>
</file>