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74767N107**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Class A Ordinary Shares. CUSIP number 74767N107 has been assigned to the American Depositary Shares (“ADSs”) of the Issuer, which are quoted on Nasdaq Global Market, under the symbol “QSG.” Each ADS represents three Class A Ordinary Shares.</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74767N107</w:t>
      </w:r>
    </w:p>
    <w:p>
      <w:pPr>
        <w:spacing w:after="0" w:line="243" w:lineRule="exact"/>
        <w:rPr>
          <w:sz w:val="20"/>
          <w:szCs w:val="20"/>
          <w:color w:val="auto"/>
        </w:rPr>
      </w:pPr>
    </w:p>
    <w:p>
      <w:pPr>
        <w:ind w:left="660" w:right="7900" w:hanging="278"/>
        <w:spacing w:after="0" w:line="409"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 Qiming Corporate GP VI, Ltd.</w:t>
      </w:r>
    </w:p>
    <w:p>
      <w:pPr>
        <w:ind w:left="660" w:right="5620" w:hanging="27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220" w:hanging="560"/>
        <w:spacing w:after="0" w:line="207" w:lineRule="exact"/>
        <w:tabs>
          <w:tab w:leader="none" w:pos="122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240" w:hanging="580"/>
        <w:spacing w:after="0" w:line="207" w:lineRule="exact"/>
        <w:tabs>
          <w:tab w:leader="none" w:pos="12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660" w:right="6920" w:hanging="278"/>
        <w:spacing w:after="0" w:line="3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780" w:hanging="554"/>
        <w:spacing w:after="0"/>
        <w:tabs>
          <w:tab w:leader="none" w:pos="27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-1811020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333"/>
        </w:trPr>
        <w:tc>
          <w:tcPr>
            <w:tcW w:w="18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8,253,990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4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78"/>
        </w:trPr>
        <w:tc>
          <w:tcPr>
            <w:tcW w:w="1840" w:type="dxa"/>
            <w:vAlign w:val="bottom"/>
          </w:tcPr>
          <w:p>
            <w:pPr>
              <w:jc w:val="center"/>
              <w:ind w:right="230"/>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6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EACH REPORTING</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420" w:type="dxa"/>
            <w:vAlign w:val="bottom"/>
          </w:tcPr>
          <w:p>
            <w:pPr>
              <w:spacing w:after="0"/>
              <w:rPr>
                <w:sz w:val="24"/>
                <w:szCs w:val="24"/>
                <w:color w:val="auto"/>
              </w:rPr>
            </w:pPr>
          </w:p>
        </w:tc>
        <w:tc>
          <w:tcPr>
            <w:tcW w:w="8660" w:type="dxa"/>
            <w:vAlign w:val="bottom"/>
          </w:tcPr>
          <w:p>
            <w:pPr>
              <w:ind w:left="200"/>
              <w:spacing w:after="0" w:line="303" w:lineRule="exact"/>
              <w:rPr>
                <w:sz w:val="20"/>
                <w:szCs w:val="20"/>
                <w:color w:val="auto"/>
              </w:rPr>
            </w:pPr>
            <w:r>
              <w:rPr>
                <w:rFonts w:ascii="Times New Roman" w:cs="Times New Roman" w:eastAsia="Times New Roman" w:hAnsi="Times New Roman"/>
                <w:sz w:val="18"/>
                <w:szCs w:val="18"/>
                <w:color w:val="auto"/>
              </w:rPr>
              <w:t xml:space="preserve">8,253,990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-8890</wp:posOffset>
            </wp:positionV>
            <wp:extent cx="5768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ind w:left="2780" w:right="5940" w:hanging="554"/>
        <w:spacing w:after="0" w:line="374" w:lineRule="auto"/>
        <w:tabs>
          <w:tab w:leader="none" w:pos="2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None</w:t>
      </w:r>
    </w:p>
    <w:p>
      <w:pPr>
        <w:spacing w:after="0" w:line="1" w:lineRule="exact"/>
        <w:rPr>
          <w:rFonts w:ascii="Times New Roman" w:cs="Times New Roman" w:eastAsia="Times New Roman" w:hAnsi="Times New Roman"/>
          <w:sz w:val="18"/>
          <w:szCs w:val="18"/>
          <w:color w:val="auto"/>
        </w:rPr>
      </w:pPr>
    </w:p>
    <w:p>
      <w:pPr>
        <w:ind w:left="660" w:right="4020" w:hanging="278"/>
        <w:spacing w:after="0" w:line="31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8,253,990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CHECK IF THE AGGREGATE AMOUNT IN ROW (9) EXCLUDES CERTAIN SHARES</w:t>
      </w:r>
    </w:p>
    <w:p>
      <w:pPr>
        <w:spacing w:after="0" w:line="16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3" w:lineRule="exact"/>
        <w:rPr>
          <w:sz w:val="20"/>
          <w:szCs w:val="20"/>
          <w:color w:val="auto"/>
        </w:rPr>
      </w:pPr>
    </w:p>
    <w:p>
      <w:pPr>
        <w:ind w:left="660" w:hanging="362"/>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8.0% </w:t>
      </w:r>
      <w:r>
        <w:rPr>
          <w:rFonts w:ascii="Times New Roman" w:cs="Times New Roman" w:eastAsia="Times New Roman" w:hAnsi="Times New Roman"/>
          <w:sz w:val="29"/>
          <w:szCs w:val="29"/>
          <w:color w:val="auto"/>
          <w:vertAlign w:val="superscript"/>
        </w:rPr>
        <w:t>(2)</w:t>
      </w:r>
    </w:p>
    <w:p>
      <w:pPr>
        <w:ind w:left="660" w:hanging="36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38" w:lineRule="exact"/>
        <w:rPr>
          <w:rFonts w:ascii="Times New Roman" w:cs="Times New Roman" w:eastAsia="Times New Roman" w:hAnsi="Times New Roman"/>
          <w:sz w:val="18"/>
          <w:szCs w:val="18"/>
          <w:color w:val="auto"/>
        </w:rPr>
      </w:pPr>
    </w:p>
    <w:p>
      <w:pPr>
        <w:jc w:val="both"/>
        <w:ind w:firstLine="8"/>
        <w:spacing w:after="0" w:line="266"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Corporate GP VI, Ltd. is the general partner of Qiming Managing Directors Fund VI, L.P. and Qiming GP VI, L.P. Qiming GP VI, L.P. is the general partner of Qiming Venture Partners VI, L.P. Qiming Managing Directors Fund VI, L.P. and Qiming Venture Partners VI, L.P. are the owners of 216,873 Class A Ordinary Shares (in the form of 72,291 ADSs) and 8,037,117 Class A Ordinary Shares (in the form of 2,679,039 ADSs), respectively.</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is calculated based upon an aggregate of 103,776,127 Class A Ordinary Shares outstanding as of June 30, 2024, as reported on the Form 20-F that the Issuer filed the Securities and Exchange Commission on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-1410970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74767N107</w:t>
      </w:r>
    </w:p>
    <w:p>
      <w:pPr>
        <w:spacing w:after="0" w:line="243" w:lineRule="exact"/>
        <w:rPr>
          <w:sz w:val="20"/>
          <w:szCs w:val="20"/>
          <w:color w:val="auto"/>
        </w:rPr>
      </w:pPr>
    </w:p>
    <w:p>
      <w:pPr>
        <w:ind w:left="660" w:right="7520" w:hanging="278"/>
        <w:spacing w:after="0" w:line="409"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 Qiming Managing Directors Fund VI, L.P.</w:t>
      </w:r>
    </w:p>
    <w:p>
      <w:pPr>
        <w:ind w:left="660" w:right="5620" w:hanging="27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220" w:hanging="560"/>
        <w:spacing w:after="0" w:line="207" w:lineRule="exact"/>
        <w:tabs>
          <w:tab w:leader="none" w:pos="12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240" w:hanging="580"/>
        <w:spacing w:after="0" w:line="207" w:lineRule="exact"/>
        <w:tabs>
          <w:tab w:leader="none" w:pos="124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660" w:right="6920" w:hanging="278"/>
        <w:spacing w:after="0" w:line="3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780" w:hanging="554"/>
        <w:spacing w:after="0"/>
        <w:tabs>
          <w:tab w:leader="none" w:pos="27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-1811020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18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216,873</w:t>
            </w: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4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78"/>
        </w:trPr>
        <w:tc>
          <w:tcPr>
            <w:tcW w:w="1840" w:type="dxa"/>
            <w:vAlign w:val="bottom"/>
          </w:tcPr>
          <w:p>
            <w:pPr>
              <w:jc w:val="center"/>
              <w:ind w:right="230"/>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6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EACH REPORTING</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420" w:type="dxa"/>
            <w:vAlign w:val="bottom"/>
          </w:tcPr>
          <w:p>
            <w:pPr>
              <w:spacing w:after="0"/>
              <w:rPr>
                <w:sz w:val="21"/>
                <w:szCs w:val="21"/>
                <w:color w:val="auto"/>
              </w:rPr>
            </w:pPr>
          </w:p>
        </w:tc>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216,873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0</wp:posOffset>
            </wp:positionV>
            <wp:extent cx="5768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ind w:left="2780" w:right="5940" w:hanging="554"/>
        <w:spacing w:after="0" w:line="383" w:lineRule="auto"/>
        <w:tabs>
          <w:tab w:leader="none" w:pos="2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None</w:t>
      </w:r>
    </w:p>
    <w:p>
      <w:pPr>
        <w:ind w:left="660" w:right="4020" w:hanging="278"/>
        <w:spacing w:after="0" w:line="38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216,873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CHECK IF THE AGGREGATE AMOUNT IN ROW (9) EXCLUDES CERTAIN SHARES</w:t>
      </w:r>
    </w:p>
    <w:p>
      <w:pPr>
        <w:spacing w:after="0" w:line="18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3" w:lineRule="exact"/>
        <w:rPr>
          <w:sz w:val="20"/>
          <w:szCs w:val="20"/>
          <w:color w:val="auto"/>
        </w:rPr>
      </w:pPr>
    </w:p>
    <w:p>
      <w:pPr>
        <w:ind w:left="660" w:hanging="362"/>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0.2% </w:t>
      </w:r>
      <w:r>
        <w:rPr>
          <w:rFonts w:ascii="Times New Roman" w:cs="Times New Roman" w:eastAsia="Times New Roman" w:hAnsi="Times New Roman"/>
          <w:sz w:val="29"/>
          <w:szCs w:val="29"/>
          <w:color w:val="auto"/>
          <w:vertAlign w:val="superscript"/>
        </w:rPr>
        <w:t>(3)</w:t>
      </w:r>
    </w:p>
    <w:p>
      <w:pPr>
        <w:ind w:left="660" w:hanging="36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38"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is calculated based upon an aggregate of 103,776,127 Class A Ordinary Shares outstanding as of June 30, 2024, as reported on the Form 20-F that the Issuer filed the Securities and Exchange Commission on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74767N107</w:t>
      </w:r>
    </w:p>
    <w:p>
      <w:pPr>
        <w:spacing w:after="0" w:line="243" w:lineRule="exact"/>
        <w:rPr>
          <w:sz w:val="20"/>
          <w:szCs w:val="20"/>
          <w:color w:val="auto"/>
        </w:rPr>
      </w:pPr>
    </w:p>
    <w:p>
      <w:pPr>
        <w:ind w:left="640" w:right="7900" w:hanging="272"/>
        <w:spacing w:after="0" w:line="38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Qiming GP VI, L.P.</w:t>
      </w:r>
    </w:p>
    <w:p>
      <w:pPr>
        <w:ind w:left="640" w:right="5620" w:hanging="272"/>
        <w:spacing w:after="0" w:line="258"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200" w:hanging="553"/>
        <w:spacing w:after="0" w:line="207" w:lineRule="exact"/>
        <w:tabs>
          <w:tab w:leader="none" w:pos="120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220" w:hanging="573"/>
        <w:spacing w:after="0" w:line="207" w:lineRule="exact"/>
        <w:tabs>
          <w:tab w:leader="none" w:pos="12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640" w:hanging="27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640" w:right="6920" w:hanging="272"/>
        <w:spacing w:after="0" w:line="38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780" w:hanging="554"/>
        <w:spacing w:after="0"/>
        <w:tabs>
          <w:tab w:leader="none" w:pos="27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-1811020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333"/>
        </w:trPr>
        <w:tc>
          <w:tcPr>
            <w:tcW w:w="18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8,037,117 </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4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78"/>
        </w:trPr>
        <w:tc>
          <w:tcPr>
            <w:tcW w:w="1840" w:type="dxa"/>
            <w:vAlign w:val="bottom"/>
          </w:tcPr>
          <w:p>
            <w:pPr>
              <w:jc w:val="center"/>
              <w:ind w:right="230"/>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6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EACH REPORTING</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420" w:type="dxa"/>
            <w:vAlign w:val="bottom"/>
          </w:tcPr>
          <w:p>
            <w:pPr>
              <w:spacing w:after="0"/>
              <w:rPr>
                <w:sz w:val="24"/>
                <w:szCs w:val="24"/>
                <w:color w:val="auto"/>
              </w:rPr>
            </w:pPr>
          </w:p>
        </w:tc>
        <w:tc>
          <w:tcPr>
            <w:tcW w:w="8660" w:type="dxa"/>
            <w:vAlign w:val="bottom"/>
          </w:tcPr>
          <w:p>
            <w:pPr>
              <w:ind w:left="200"/>
              <w:spacing w:after="0" w:line="303" w:lineRule="exact"/>
              <w:rPr>
                <w:sz w:val="20"/>
                <w:szCs w:val="20"/>
                <w:color w:val="auto"/>
              </w:rPr>
            </w:pPr>
            <w:r>
              <w:rPr>
                <w:rFonts w:ascii="Times New Roman" w:cs="Times New Roman" w:eastAsia="Times New Roman" w:hAnsi="Times New Roman"/>
                <w:sz w:val="18"/>
                <w:szCs w:val="18"/>
                <w:color w:val="auto"/>
              </w:rPr>
              <w:t xml:space="preserve">8,037,117 </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-8890</wp:posOffset>
            </wp:positionV>
            <wp:extent cx="57689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ind w:left="2780" w:right="5940" w:hanging="554"/>
        <w:spacing w:after="0" w:line="374" w:lineRule="auto"/>
        <w:tabs>
          <w:tab w:leader="none" w:pos="2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None</w:t>
      </w:r>
    </w:p>
    <w:p>
      <w:pPr>
        <w:spacing w:after="0" w:line="1" w:lineRule="exact"/>
        <w:rPr>
          <w:rFonts w:ascii="Times New Roman" w:cs="Times New Roman" w:eastAsia="Times New Roman" w:hAnsi="Times New Roman"/>
          <w:sz w:val="18"/>
          <w:szCs w:val="18"/>
          <w:color w:val="auto"/>
        </w:rPr>
      </w:pPr>
    </w:p>
    <w:p>
      <w:pPr>
        <w:ind w:left="640" w:right="4040" w:hanging="272"/>
        <w:spacing w:after="0" w:line="318"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8,037,117 </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20"/>
        <w:spacing w:after="0"/>
        <w:tabs>
          <w:tab w:leader="none" w:pos="6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CHECK IF THE AGGREGATE AMOUNT IN ROW (9) EXCLUDES CERTAIN SHARES</w:t>
      </w:r>
    </w:p>
    <w:p>
      <w:pPr>
        <w:spacing w:after="0" w:line="164"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3" w:lineRule="exact"/>
        <w:rPr>
          <w:sz w:val="20"/>
          <w:szCs w:val="20"/>
          <w:color w:val="auto"/>
        </w:rPr>
      </w:pPr>
    </w:p>
    <w:p>
      <w:pPr>
        <w:ind w:left="640" w:hanging="355"/>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6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29"/>
          <w:szCs w:val="29"/>
          <w:color w:val="auto"/>
          <w:vertAlign w:val="superscript"/>
        </w:rPr>
        <w:t>(5)</w:t>
      </w:r>
    </w:p>
    <w:p>
      <w:pPr>
        <w:ind w:left="640" w:hanging="362"/>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38"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GP VI, L.P. is the general partner of Qiming Venture Partners VI, L.P. Qiming Venture Partners VI, L.P. is the owner of 8,037,1179 Class A Ordinary Shares (in the form of 2,679,039 ADSs).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is calculated based upon an aggregate of 103,776,127 Class A Ordinary Shares outstanding as of June 30, 2024, as reported on the Form 20-F that the Issuer filed the Securities and Exchange Commission on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74767N107</w:t>
      </w:r>
    </w:p>
    <w:p>
      <w:pPr>
        <w:spacing w:after="0" w:line="243" w:lineRule="exact"/>
        <w:rPr>
          <w:sz w:val="20"/>
          <w:szCs w:val="20"/>
          <w:color w:val="auto"/>
        </w:rPr>
      </w:pPr>
    </w:p>
    <w:p>
      <w:pPr>
        <w:ind w:left="640" w:right="7900" w:hanging="272"/>
        <w:spacing w:after="0" w:line="38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Qiming Venture Partners VI, L.P.</w:t>
      </w:r>
    </w:p>
    <w:p>
      <w:pPr>
        <w:ind w:left="640" w:right="5620" w:hanging="272"/>
        <w:spacing w:after="0" w:line="258"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200" w:hanging="553"/>
        <w:spacing w:after="0" w:line="207" w:lineRule="exact"/>
        <w:tabs>
          <w:tab w:leader="none" w:pos="120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220" w:hanging="573"/>
        <w:spacing w:after="0" w:line="207" w:lineRule="exact"/>
        <w:tabs>
          <w:tab w:leader="none" w:pos="122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640" w:hanging="27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640" w:right="6920" w:hanging="272"/>
        <w:spacing w:after="0" w:line="38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780" w:hanging="554"/>
        <w:spacing w:after="0"/>
        <w:tabs>
          <w:tab w:leader="none" w:pos="27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-1811020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18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8,037,117</w:t>
            </w: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4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6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78"/>
        </w:trPr>
        <w:tc>
          <w:tcPr>
            <w:tcW w:w="1840" w:type="dxa"/>
            <w:vAlign w:val="bottom"/>
          </w:tcPr>
          <w:p>
            <w:pPr>
              <w:jc w:val="center"/>
              <w:ind w:right="230"/>
              <w:spacing w:after="0" w:line="177" w:lineRule="exact"/>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Pr>
          <w:p>
            <w:pPr>
              <w:jc w:val="right"/>
              <w:ind w:right="1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66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EACH REPORTING</w:t>
            </w:r>
          </w:p>
        </w:tc>
        <w:tc>
          <w:tcPr>
            <w:tcW w:w="4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420" w:type="dxa"/>
            <w:vAlign w:val="bottom"/>
          </w:tcPr>
          <w:p>
            <w:pPr>
              <w:spacing w:after="0"/>
              <w:rPr>
                <w:sz w:val="21"/>
                <w:szCs w:val="21"/>
                <w:color w:val="auto"/>
              </w:rPr>
            </w:pPr>
          </w:p>
        </w:tc>
        <w:tc>
          <w:tcPr>
            <w:tcW w:w="8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8,037,117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0</wp:posOffset>
            </wp:positionV>
            <wp:extent cx="57689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ind w:left="2780" w:right="5940" w:hanging="554"/>
        <w:spacing w:after="0" w:line="383" w:lineRule="auto"/>
        <w:tabs>
          <w:tab w:leader="none" w:pos="27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None</w:t>
      </w:r>
    </w:p>
    <w:p>
      <w:pPr>
        <w:ind w:left="640" w:right="4040" w:hanging="272"/>
        <w:spacing w:after="0" w:line="383"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8,037,117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20"/>
        <w:spacing w:after="0"/>
        <w:tabs>
          <w:tab w:leader="none" w:pos="6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CHECK IF THE AGGREGATE AMOUNT IN ROW (9) EXCLUDES CERTAIN SHARES</w:t>
      </w:r>
    </w:p>
    <w:p>
      <w:pPr>
        <w:spacing w:after="0" w:line="180" w:lineRule="exact"/>
        <w:rPr>
          <w:sz w:val="20"/>
          <w:szCs w:val="20"/>
          <w:color w:val="auto"/>
        </w:rPr>
      </w:pPr>
    </w:p>
    <w:p>
      <w:pPr>
        <w:ind w:left="640"/>
        <w:spacing w:after="0" w:line="207" w:lineRule="exact"/>
        <w:rPr>
          <w:sz w:val="20"/>
          <w:szCs w:val="20"/>
          <w:color w:val="auto"/>
        </w:rPr>
      </w:pPr>
      <w:r>
        <w:rPr>
          <w:rFonts w:ascii="Times New Roman" w:cs="Times New Roman" w:eastAsia="Times New Roman" w:hAnsi="Times New Roman"/>
          <w:sz w:val="18"/>
          <w:szCs w:val="18"/>
          <w:color w:val="auto"/>
        </w:rPr>
        <w:t xml:space="preserve">(see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3" w:lineRule="exact"/>
        <w:rPr>
          <w:sz w:val="20"/>
          <w:szCs w:val="20"/>
          <w:color w:val="auto"/>
        </w:rPr>
      </w:pPr>
    </w:p>
    <w:p>
      <w:pPr>
        <w:ind w:left="640" w:hanging="355"/>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6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29"/>
          <w:szCs w:val="29"/>
          <w:color w:val="auto"/>
          <w:vertAlign w:val="superscript"/>
        </w:rPr>
        <w:t>(6)</w:t>
      </w:r>
    </w:p>
    <w:p>
      <w:pPr>
        <w:ind w:left="640" w:hanging="362"/>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38"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is calculated based upon an aggregate of 103,776,127 Class A Ordinary Shares outstanding as of June 30, 2024, as reported on the Form 20-F that the Issuer filed the Securities and Exchange Commission on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-862330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580" w:hanging="316"/>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p>
    <w:p>
      <w:pPr>
        <w:spacing w:after="0" w:line="27"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QuantaSing Group Limited (the “Issuer”)</w:t>
      </w:r>
    </w:p>
    <w:p>
      <w:pPr>
        <w:spacing w:after="0" w:line="206" w:lineRule="exact"/>
        <w:rPr>
          <w:rFonts w:ascii="Times New Roman" w:cs="Times New Roman" w:eastAsia="Times New Roman" w:hAnsi="Times New Roman"/>
          <w:sz w:val="18"/>
          <w:szCs w:val="18"/>
          <w:color w:val="auto"/>
        </w:rPr>
      </w:pPr>
    </w:p>
    <w:p>
      <w:pPr>
        <w:ind w:left="580" w:hanging="316"/>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principal executive office is located at 2/F, Building D, Ronsin Technology Center, Chaoyang District, Beijing 100102, People’s Republic of China.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600" w:right="8440" w:hanging="336"/>
        <w:spacing w:after="0" w:line="276" w:lineRule="auto"/>
        <w:tabs>
          <w:tab w:leader="none" w:pos="59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Name of Person Filing </w:t>
      </w:r>
      <w:r>
        <w:rPr>
          <w:rFonts w:ascii="Times New Roman" w:cs="Times New Roman" w:eastAsia="Times New Roman" w:hAnsi="Times New Roman"/>
          <w:sz w:val="17"/>
          <w:szCs w:val="17"/>
          <w:color w:val="auto"/>
        </w:rPr>
        <w:t>Qiming Corporate GP VI, Ltd.</w:t>
      </w:r>
    </w:p>
    <w:p>
      <w:pPr>
        <w:ind w:left="600" w:right="76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Qiming Managing Directors Fund VI, L.P. Qiming GP VI, L.P.</w:t>
      </w: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Qiming Venture Partners VI, L.P.</w:t>
      </w:r>
    </w:p>
    <w:p>
      <w:pPr>
        <w:spacing w:after="0" w:line="206" w:lineRule="exact"/>
        <w:rPr>
          <w:rFonts w:ascii="Times New Roman" w:cs="Times New Roman" w:eastAsia="Times New Roman" w:hAnsi="Times New Roman"/>
          <w:sz w:val="17"/>
          <w:szCs w:val="17"/>
          <w:color w:val="auto"/>
        </w:rPr>
      </w:pPr>
    </w:p>
    <w:p>
      <w:pPr>
        <w:ind w:left="580" w:hanging="316"/>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the Principal Office or, if None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Residence</w:t>
      </w:r>
    </w:p>
    <w:p>
      <w:pPr>
        <w:spacing w:after="0" w:line="27" w:lineRule="exact"/>
        <w:rPr>
          <w:rFonts w:ascii="Times New Roman" w:cs="Times New Roman" w:eastAsia="Times New Roman" w:hAnsi="Times New Roman"/>
          <w:sz w:val="18"/>
          <w:szCs w:val="18"/>
          <w:color w:val="auto"/>
        </w:rPr>
      </w:pPr>
    </w:p>
    <w:p>
      <w:pPr>
        <w:ind w:left="6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address of each of the Reporting Persons is M&amp;C Corporate Services Limited, P.O. Box 309GT, Ugland House, South Church Street, George Town, Grand Cayman, Cayman Islands.</w:t>
      </w:r>
    </w:p>
    <w:p>
      <w:pPr>
        <w:spacing w:after="0" w:line="181" w:lineRule="exact"/>
        <w:rPr>
          <w:rFonts w:ascii="Times New Roman" w:cs="Times New Roman" w:eastAsia="Times New Roman" w:hAnsi="Times New Roman"/>
          <w:sz w:val="18"/>
          <w:szCs w:val="18"/>
          <w:color w:val="auto"/>
        </w:rPr>
      </w:pPr>
    </w:p>
    <w:p>
      <w:pPr>
        <w:ind w:left="580" w:hanging="316"/>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p>
    <w:p>
      <w:pPr>
        <w:spacing w:after="0" w:line="27"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for all Reporting Persons.</w:t>
      </w:r>
    </w:p>
    <w:p>
      <w:pPr>
        <w:spacing w:after="0" w:line="206" w:lineRule="exact"/>
        <w:rPr>
          <w:rFonts w:ascii="Times New Roman" w:cs="Times New Roman" w:eastAsia="Times New Roman" w:hAnsi="Times New Roman"/>
          <w:sz w:val="18"/>
          <w:szCs w:val="18"/>
          <w:color w:val="auto"/>
        </w:rPr>
      </w:pPr>
    </w:p>
    <w:p>
      <w:pPr>
        <w:ind w:left="580" w:hanging="316"/>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par value of $0.0001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580" w:hanging="316"/>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p>
    <w:p>
      <w:pPr>
        <w:spacing w:after="0" w:line="27" w:lineRule="exact"/>
        <w:rPr>
          <w:rFonts w:ascii="Times New Roman" w:cs="Times New Roman" w:eastAsia="Times New Roman" w:hAnsi="Times New Roman"/>
          <w:sz w:val="18"/>
          <w:szCs w:val="18"/>
          <w:color w:val="auto"/>
        </w:rPr>
      </w:pPr>
    </w:p>
    <w:p>
      <w:pPr>
        <w:ind w:left="6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CUSIP number assigned to the Class A Ordinary Shares. CUSIP number 74767N107 has been assigned to the ADSs of the Issuer, which are quoted on Nasdaq Global Market, under the symbol “QSG.” Each ADS represents three Class A Ordinary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Statement is filed pursuant to §§240.13d-1(b) or 240.13d-2(b) or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 for each of the Reporting Person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536" w:right="8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Corporate GP VI, Ltd.</w:t>
      </w:r>
    </w:p>
    <w:p>
      <w:pPr>
        <w:spacing w:after="0" w:line="28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Managing Directors Fund VI,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Corporate GP VI,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GP VI,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Corporate GP VI,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Venture Partners VI,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GP VI,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Corporate GP VI,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Partner of Qiming GP VI, L.P.</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February 8,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Corporate GP VI, Ltd.</w:t>
      </w:r>
    </w:p>
    <w:p>
      <w:pPr>
        <w:spacing w:after="0" w:line="28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Managing Directors Fund VI,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Corporate GP VI,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GP VI,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Corporate GP VI,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Qiming Venture Partners VI,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GP VI,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Qiming Corporate GP VI,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Partner of Qiming GP VI, L.P.</w:t>
      </w:r>
    </w:p>
    <w:p>
      <w:pPr>
        <w:spacing w:after="0" w:line="2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Grace Lee</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Grace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1BEFD79F"/>
    <w:multiLevelType w:val="hybridMultilevel"/>
    <w:lvl w:ilvl="0">
      <w:lvlJc w:val="left"/>
      <w:lvlText w:val="%1"/>
      <w:numFmt w:val="decimal"/>
      <w:start w:val="1"/>
    </w:lvl>
    <w:lvl w:ilvl="1">
      <w:lvlJc w:val="left"/>
      <w:lvlText w:val="%2."/>
      <w:numFmt w:val="decimal"/>
      <w:start w:val="8"/>
    </w:lvl>
  </w:abstractNum>
  <w:abstractNum w:abstractNumId="5">
    <w:nsid w:val="41A7C4C9"/>
    <w:multiLevelType w:val="hybridMultilevel"/>
    <w:lvl w:ilvl="0">
      <w:lvlJc w:val="left"/>
      <w:lvlText w:val="%1."/>
      <w:numFmt w:val="decimal"/>
      <w:start w:val="9"/>
    </w:lvl>
    <w:lvl w:ilvl="1">
      <w:lvlJc w:val="left"/>
      <w:lvlText w:val="%2"/>
      <w:numFmt w:val="decimal"/>
      <w:start w:val="1"/>
    </w:lvl>
  </w:abstractNum>
  <w:abstractNum w:abstractNumId="6">
    <w:nsid w:val="6B68079A"/>
    <w:multiLevelType w:val="hybridMultilevel"/>
    <w:lvl w:ilvl="0">
      <w:lvlJc w:val="left"/>
      <w:lvlText w:val="%1"/>
      <w:numFmt w:val="decimal"/>
      <w:start w:val="1"/>
    </w:lvl>
    <w:lvl w:ilvl="1">
      <w:lvlJc w:val="left"/>
      <w:lvlText w:val="%2."/>
      <w:numFmt w:val="decimal"/>
      <w:start w:val="11"/>
    </w:lvl>
  </w:abstractNum>
  <w:abstractNum w:abstractNumId="7">
    <w:nsid w:val="4E6AFB66"/>
    <w:multiLevelType w:val="hybridMultilevel"/>
    <w:lvl w:ilvl="0">
      <w:lvlJc w:val="left"/>
      <w:lvlText w:val="(%1)"/>
      <w:numFmt w:val="decimal"/>
      <w:start w:val="1"/>
    </w:lvl>
    <w:lvl w:ilvl="1">
      <w:lvlJc w:val="left"/>
      <w:lvlText w:val="%2"/>
      <w:numFmt w:val="decimal"/>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519B500D"/>
    <w:multiLevelType w:val="hybridMultilevel"/>
    <w:lvl w:ilvl="0">
      <w:lvlJc w:val="left"/>
      <w:lvlText w:val="%1"/>
      <w:numFmt w:val="decimal"/>
      <w:start w:val="1"/>
    </w:lvl>
    <w:lvl w:ilvl="1">
      <w:lvlJc w:val="left"/>
      <w:lvlText w:val="%2."/>
      <w:numFmt w:val="decimal"/>
      <w:start w:val="8"/>
    </w:lvl>
  </w:abstractNum>
  <w:abstractNum w:abstractNumId="10">
    <w:nsid w:val="431BD7B7"/>
    <w:multiLevelType w:val="hybridMultilevel"/>
    <w:lvl w:ilvl="0">
      <w:lvlJc w:val="left"/>
      <w:lvlText w:val="%1."/>
      <w:numFmt w:val="decimal"/>
      <w:start w:val="9"/>
    </w:lvl>
    <w:lvl w:ilvl="1">
      <w:lvlJc w:val="left"/>
      <w:lvlText w:val="%2"/>
      <w:numFmt w:val="decimal"/>
      <w:start w:val="1"/>
    </w:lvl>
  </w:abstractNum>
  <w:abstractNum w:abstractNumId="11">
    <w:nsid w:val="3F2DBA31"/>
    <w:multiLevelType w:val="hybridMultilevel"/>
    <w:lvl w:ilvl="0">
      <w:lvlJc w:val="left"/>
      <w:lvlText w:val="%1"/>
      <w:numFmt w:val="decimal"/>
      <w:start w:val="1"/>
    </w:lvl>
    <w:lvl w:ilvl="1">
      <w:lvlJc w:val="left"/>
      <w:lvlText w:val="%2."/>
      <w:numFmt w:val="decimal"/>
      <w:start w:val="11"/>
    </w:lvl>
  </w:abstractNum>
  <w:abstractNum w:abstractNumId="12">
    <w:nsid w:val="7C83E458"/>
    <w:multiLevelType w:val="hybridMultilevel"/>
    <w:lvl w:ilvl="0">
      <w:lvlJc w:val="left"/>
      <w:lvlText w:val="(%1)"/>
      <w:numFmt w:val="decimal"/>
      <w:start w:val="3"/>
    </w:lvl>
    <w:lvl w:ilvl="1">
      <w:lvlJc w:val="left"/>
      <w:lvlText w:val="%2"/>
      <w:numFmt w:val="decimal"/>
      <w:start w:val="1"/>
    </w:lvl>
  </w:abstractNum>
  <w:abstractNum w:abstractNumId="13">
    <w:nsid w:val="257130A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4">
    <w:nsid w:val="62BBD95A"/>
    <w:multiLevelType w:val="hybridMultilevel"/>
    <w:lvl w:ilvl="0">
      <w:lvlJc w:val="left"/>
      <w:lvlText w:val="%1"/>
      <w:numFmt w:val="decimal"/>
      <w:start w:val="1"/>
    </w:lvl>
    <w:lvl w:ilvl="1">
      <w:lvlJc w:val="left"/>
      <w:lvlText w:val="%2."/>
      <w:numFmt w:val="decimal"/>
      <w:start w:val="8"/>
    </w:lvl>
  </w:abstractNum>
  <w:abstractNum w:abstractNumId="15">
    <w:nsid w:val="436C6125"/>
    <w:multiLevelType w:val="hybridMultilevel"/>
    <w:lvl w:ilvl="0">
      <w:lvlJc w:val="left"/>
      <w:lvlText w:val="%1."/>
      <w:numFmt w:val="decimal"/>
      <w:start w:val="9"/>
    </w:lvl>
    <w:lvl w:ilvl="1">
      <w:lvlJc w:val="left"/>
      <w:lvlText w:val="%2"/>
      <w:numFmt w:val="decimal"/>
      <w:start w:val="1"/>
    </w:lvl>
  </w:abstractNum>
  <w:abstractNum w:abstractNumId="16">
    <w:nsid w:val="628C895D"/>
    <w:multiLevelType w:val="hybridMultilevel"/>
    <w:lvl w:ilvl="0">
      <w:lvlJc w:val="left"/>
      <w:lvlText w:val="%1"/>
      <w:numFmt w:val="decimal"/>
      <w:start w:val="1"/>
    </w:lvl>
    <w:lvl w:ilvl="1">
      <w:lvlJc w:val="left"/>
      <w:lvlText w:val="%2."/>
      <w:numFmt w:val="decimal"/>
      <w:start w:val="11"/>
    </w:lvl>
  </w:abstractNum>
  <w:abstractNum w:abstractNumId="17">
    <w:nsid w:val="333AB105"/>
    <w:multiLevelType w:val="hybridMultilevel"/>
    <w:lvl w:ilvl="0">
      <w:lvlJc w:val="left"/>
      <w:lvlText w:val="(%1)"/>
      <w:numFmt w:val="decimal"/>
      <w:start w:val="4"/>
    </w:lvl>
    <w:lvl w:ilvl="1">
      <w:lvlJc w:val="left"/>
      <w:lvlText w:val="%2"/>
      <w:numFmt w:val="decimal"/>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2443A858"/>
    <w:multiLevelType w:val="hybridMultilevel"/>
    <w:lvl w:ilvl="0">
      <w:lvlJc w:val="left"/>
      <w:lvlText w:val="%1"/>
      <w:numFmt w:val="decimal"/>
      <w:start w:val="1"/>
    </w:lvl>
    <w:lvl w:ilvl="1">
      <w:lvlJc w:val="left"/>
      <w:lvlText w:val="%2."/>
      <w:numFmt w:val="decimal"/>
      <w:start w:val="8"/>
    </w:lvl>
  </w:abstractNum>
  <w:abstractNum w:abstractNumId="20">
    <w:nsid w:val="2D1D5AE9"/>
    <w:multiLevelType w:val="hybridMultilevel"/>
    <w:lvl w:ilvl="0">
      <w:lvlJc w:val="left"/>
      <w:lvlText w:val="%1."/>
      <w:numFmt w:val="decimal"/>
      <w:start w:val="9"/>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decimal"/>
      <w:start w:val="11"/>
    </w:lvl>
  </w:abstractNum>
  <w:abstractNum w:abstractNumId="22">
    <w:nsid w:val="75A2A8D4"/>
    <w:multiLevelType w:val="hybridMultilevel"/>
    <w:lvl w:ilvl="0">
      <w:lvlJc w:val="left"/>
      <w:lvlText w:val="(%1)"/>
      <w:numFmt w:val="decimal"/>
      <w:start w:val="6"/>
    </w:lvl>
    <w:lvl w:ilvl="1">
      <w:lvlJc w:val="left"/>
      <w:lvlText w:val="%2"/>
      <w:numFmt w:val="decimal"/>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2024-11-13T09:13:39Z</dcterms:created>
  <dcterms:modified xsi:type="dcterms:W3CDTF">2024-11-13T09:13:39Z</dcterms:modified>
</cp:coreProperties>
</file>