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left="440" w:right="236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QuantaSing Group Limited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724" w:type="dxa"/>
        <w:tblCellMar>
          <w:top w:w="0" w:type="dxa"/>
          <w:left w:w="0" w:type="dxa"/>
          <w:bottom w:w="0" w:type="dxa"/>
          <w:right w:w="0" w:type="dxa"/>
        </w:tblCellMar>
      </w:tblPr>
      <w:tr>
        <w:trPr>
          <w:trHeight w:val="214"/>
        </w:trPr>
        <w:tc>
          <w:tcPr>
            <w:tcW w:w="6260" w:type="dxa"/>
            <w:vAlign w:val="bottom"/>
            <w:gridSpan w:val="3"/>
          </w:tcPr>
          <w:p>
            <w:pPr>
              <w:jc w:val="center"/>
              <w:ind w:right="2054"/>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00" w:type="dxa"/>
            <w:vAlign w:val="bottom"/>
          </w:tcPr>
          <w:p>
            <w:pPr>
              <w:spacing w:after="0"/>
              <w:rPr>
                <w:sz w:val="18"/>
                <w:szCs w:val="18"/>
                <w:color w:val="auto"/>
              </w:rPr>
            </w:pPr>
          </w:p>
        </w:tc>
        <w:tc>
          <w:tcPr>
            <w:tcW w:w="20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6260" w:type="dxa"/>
            <w:vAlign w:val="bottom"/>
            <w:gridSpan w:val="3"/>
          </w:tcPr>
          <w:p>
            <w:pPr>
              <w:jc w:val="center"/>
              <w:ind w:right="2054"/>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254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52"/>
        </w:trPr>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40" w:type="dxa"/>
            <w:vAlign w:val="bottom"/>
          </w:tcPr>
          <w:p>
            <w:pPr>
              <w:jc w:val="center"/>
              <w:ind w:left="614"/>
              <w:spacing w:after="0"/>
              <w:rPr>
                <w:sz w:val="20"/>
                <w:szCs w:val="20"/>
                <w:color w:val="auto"/>
              </w:rPr>
            </w:pPr>
            <w:r>
              <w:rPr>
                <w:rFonts w:ascii="Times New Roman" w:cs="Times New Roman" w:eastAsia="Times New Roman" w:hAnsi="Times New Roman"/>
                <w:sz w:val="18"/>
                <w:szCs w:val="18"/>
                <w:b w:val="1"/>
                <w:bCs w:val="1"/>
                <w:color w:val="auto"/>
                <w:w w:val="99"/>
              </w:rPr>
              <w:t>Room 710, 5/F, Building No. 1,</w:t>
            </w: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40" w:type="dxa"/>
            <w:vAlign w:val="bottom"/>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w w:val="99"/>
              </w:rPr>
              <w:t>Zone No. 1, Ronghe Road</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40" w:type="dxa"/>
            <w:vAlign w:val="bottom"/>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rPr>
              <w:t>Chaoyang District, Beijing 100102</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40" w:type="dxa"/>
            <w:vAlign w:val="bottom"/>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6260" w:type="dxa"/>
            <w:vAlign w:val="bottom"/>
            <w:gridSpan w:val="3"/>
          </w:tcPr>
          <w:p>
            <w:pPr>
              <w:jc w:val="center"/>
              <w:ind w:left="3233"/>
              <w:spacing w:after="0"/>
              <w:rPr>
                <w:sz w:val="20"/>
                <w:szCs w:val="20"/>
                <w:color w:val="auto"/>
              </w:rPr>
            </w:pPr>
            <w:r>
              <w:rPr>
                <w:rFonts w:ascii="Times New Roman" w:cs="Times New Roman" w:eastAsia="Times New Roman" w:hAnsi="Times New Roman"/>
                <w:sz w:val="18"/>
                <w:szCs w:val="18"/>
                <w:b w:val="1"/>
                <w:bCs w:val="1"/>
                <w:color w:val="auto"/>
                <w:w w:val="99"/>
              </w:rPr>
              <w:t>+86-10 6493-8177</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90"/>
        </w:trPr>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180" w:type="dxa"/>
            <w:vAlign w:val="bottom"/>
            <w:gridSpan w:val="4"/>
          </w:tcPr>
          <w:p>
            <w:pPr>
              <w:jc w:val="center"/>
              <w:ind w:right="177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75"/>
        </w:trPr>
        <w:tc>
          <w:tcPr>
            <w:tcW w:w="1500" w:type="dxa"/>
            <w:vAlign w:val="bottom"/>
          </w:tcPr>
          <w:p>
            <w:pPr>
              <w:spacing w:after="0"/>
              <w:rPr>
                <w:sz w:val="24"/>
                <w:szCs w:val="24"/>
                <w:color w:val="auto"/>
              </w:rPr>
            </w:pPr>
          </w:p>
        </w:tc>
        <w:tc>
          <w:tcPr>
            <w:tcW w:w="7300" w:type="dxa"/>
            <w:vAlign w:val="bottom"/>
            <w:gridSpan w:val="5"/>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Securities to be registered pursuant to Section 12(b) of the Act:</w:t>
            </w:r>
          </w:p>
        </w:tc>
      </w:tr>
      <w:tr>
        <w:trPr>
          <w:trHeight w:val="340"/>
        </w:trPr>
        <w:tc>
          <w:tcPr>
            <w:tcW w:w="1500" w:type="dxa"/>
            <w:vAlign w:val="bottom"/>
          </w:tcPr>
          <w:p>
            <w:pPr>
              <w:spacing w:after="0"/>
              <w:rPr>
                <w:sz w:val="24"/>
                <w:szCs w:val="24"/>
                <w:color w:val="auto"/>
              </w:rPr>
            </w:pPr>
          </w:p>
        </w:tc>
        <w:tc>
          <w:tcPr>
            <w:tcW w:w="4760" w:type="dxa"/>
            <w:vAlign w:val="bottom"/>
            <w:gridSpan w:val="2"/>
          </w:tcPr>
          <w:p>
            <w:pPr>
              <w:jc w:val="center"/>
              <w:ind w:right="355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gridSpan w:val="3"/>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5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20" w:type="dxa"/>
            <w:vAlign w:val="bottom"/>
          </w:tcPr>
          <w:p>
            <w:pPr>
              <w:spacing w:after="0"/>
              <w:rPr>
                <w:sz w:val="15"/>
                <w:szCs w:val="15"/>
                <w:color w:val="auto"/>
              </w:rPr>
            </w:pPr>
          </w:p>
        </w:tc>
      </w:tr>
      <w:tr>
        <w:trPr>
          <w:trHeight w:val="191"/>
        </w:trPr>
        <w:tc>
          <w:tcPr>
            <w:tcW w:w="1500" w:type="dxa"/>
            <w:vAlign w:val="bottom"/>
          </w:tcPr>
          <w:p>
            <w:pPr>
              <w:ind w:left="840"/>
              <w:spacing w:after="0" w:line="191" w:lineRule="exact"/>
              <w:rPr>
                <w:sz w:val="20"/>
                <w:szCs w:val="20"/>
                <w:color w:val="auto"/>
              </w:rPr>
            </w:pPr>
            <w:r>
              <w:rPr>
                <w:rFonts w:ascii="Times New Roman" w:cs="Times New Roman" w:eastAsia="Times New Roman" w:hAnsi="Times New Roman"/>
                <w:sz w:val="18"/>
                <w:szCs w:val="18"/>
                <w:color w:val="auto"/>
                <w:w w:val="90"/>
              </w:rPr>
              <w:t>American</w:t>
            </w:r>
          </w:p>
        </w:tc>
        <w:tc>
          <w:tcPr>
            <w:tcW w:w="47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depositary shares, each</w:t>
            </w:r>
          </w:p>
        </w:tc>
        <w:tc>
          <w:tcPr>
            <w:tcW w:w="5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w w:val="92"/>
              </w:rPr>
              <w:t>The</w:t>
            </w:r>
          </w:p>
        </w:tc>
        <w:tc>
          <w:tcPr>
            <w:tcW w:w="17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Nasdaq Stock Market</w:t>
            </w: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8"/>
              </w:rPr>
              <w:t>LLC</w:t>
            </w:r>
          </w:p>
        </w:tc>
      </w:tr>
      <w:tr>
        <w:trPr>
          <w:trHeight w:val="230"/>
        </w:trPr>
        <w:tc>
          <w:tcPr>
            <w:tcW w:w="6260" w:type="dxa"/>
            <w:vAlign w:val="bottom"/>
            <w:gridSpan w:val="3"/>
          </w:tcPr>
          <w:p>
            <w:pPr>
              <w:jc w:val="center"/>
              <w:ind w:right="2054"/>
              <w:spacing w:after="0"/>
              <w:rPr>
                <w:sz w:val="20"/>
                <w:szCs w:val="20"/>
                <w:color w:val="auto"/>
              </w:rPr>
            </w:pPr>
            <w:r>
              <w:rPr>
                <w:rFonts w:ascii="Times New Roman" w:cs="Times New Roman" w:eastAsia="Times New Roman" w:hAnsi="Times New Roman"/>
                <w:sz w:val="18"/>
                <w:szCs w:val="18"/>
                <w:color w:val="auto"/>
                <w:w w:val="99"/>
              </w:rPr>
              <w:t>representing three Class A ordinary shares</w:t>
            </w: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4"/>
        </w:trPr>
        <w:tc>
          <w:tcPr>
            <w:tcW w:w="6260" w:type="dxa"/>
            <w:vAlign w:val="bottom"/>
            <w:gridSpan w:val="3"/>
          </w:tcPr>
          <w:p>
            <w:pPr>
              <w:jc w:val="center"/>
              <w:ind w:right="2054"/>
              <w:spacing w:after="0"/>
              <w:rPr>
                <w:sz w:val="20"/>
                <w:szCs w:val="20"/>
                <w:color w:val="auto"/>
              </w:rPr>
            </w:pPr>
            <w:r>
              <w:rPr>
                <w:rFonts w:ascii="Times New Roman" w:cs="Times New Roman" w:eastAsia="Times New Roman" w:hAnsi="Times New Roman"/>
                <w:sz w:val="18"/>
                <w:szCs w:val="18"/>
                <w:color w:val="auto"/>
              </w:rPr>
              <w:t>Class A ordinary shares, par value US$0.0001 per share*</w:t>
            </w:r>
          </w:p>
        </w:tc>
        <w:tc>
          <w:tcPr>
            <w:tcW w:w="2540" w:type="dxa"/>
            <w:vAlign w:val="bottom"/>
            <w:gridSpan w:val="3"/>
          </w:tcPr>
          <w:p>
            <w:pPr>
              <w:jc w:val="center"/>
              <w:ind w:left="99"/>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213995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4" w:right="7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8" w:lineRule="exact"/>
        <w:rPr>
          <w:sz w:val="24"/>
          <w:szCs w:val="24"/>
          <w:color w:val="auto"/>
        </w:rPr>
      </w:pPr>
    </w:p>
    <w:p>
      <w:pPr>
        <w:ind w:left="4" w:right="7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4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333-268907</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of the American depositary shares on the The Nasdaq Stock Market LLC. The American depositary shares represent Class A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376"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description of the securities being registered is set forth under “Description of Share Capital” and “Description of American Depositary Shares” in the Registrant’s registration statement on Form F-1 (File No. 333-268907), originally filed with the Securities and Exchange Commission on December 20, 2022, as amended, including any form of prospectus contained therein pursuant to Rule 424(b) under the Securities Act of 1933, which description and prospectus are incorporated herein by reference. Copies of such description will be filed with the The Nasdaq Stock Market LLC.</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No exhibits are required to be filed as the securities being registered on this form (1) are being registered on an exchange on which no other securities of the Registrant are registered, and (2) are not being registered pursuant to Section 12(g) of the Securities Exchange Act of 1934.</w:t>
      </w:r>
    </w:p>
    <w:p>
      <w:pPr>
        <w:sectPr>
          <w:pgSz w:w="11900" w:h="16838" w:orient="portrait"/>
          <w:cols w:equalWidth="0" w:num="1">
            <w:col w:w="10920"/>
          </w:cols>
          <w:pgMar w:left="440" w:top="266" w:right="5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Peng Li</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12, 2023</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2023-01-12T15:04:50Z</dcterms:created>
  <dcterms:modified xsi:type="dcterms:W3CDTF">2023-01-12T15:04:50Z</dcterms:modified>
</cp:coreProperties>
</file>