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 UNDER</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June 2024</w:t>
      </w:r>
    </w:p>
    <w:p>
      <w:pPr>
        <w:spacing w:after="0" w:line="225"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001-41590</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QUANTASING GROUP LIMITED</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2/F, Building D, Ronsin Technology Center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Chaoyang District, Beijing 100102</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People’s Republic of China</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+86-10 6493-7857</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196" w:lineRule="exact"/>
        <w:rPr>
          <w:sz w:val="24"/>
          <w:szCs w:val="24"/>
          <w:color w:val="auto"/>
        </w:rPr>
      </w:pPr>
    </w:p>
    <w:p>
      <w:pPr>
        <w:ind w:left="4620"/>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652145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09"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472"/>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QUANTASING GROUP LIMITED</w:t>
      </w:r>
    </w:p>
    <w:p>
      <w:pPr>
        <w:spacing w:after="0" w:line="229" w:lineRule="exact"/>
        <w:rPr>
          <w:sz w:val="20"/>
          <w:szCs w:val="20"/>
          <w:color w:val="auto"/>
        </w:rPr>
      </w:pPr>
    </w:p>
    <w:p>
      <w:pPr>
        <w:spacing w:after="0"/>
        <w:tabs>
          <w:tab w:leader="none" w:pos="6740" w:val="left"/>
          <w:tab w:leader="none" w:pos="7300" w:val="left"/>
        </w:tabs>
        <w:rPr>
          <w:sz w:val="20"/>
          <w:szCs w:val="20"/>
          <w:color w:val="auto"/>
        </w:rPr>
      </w:pPr>
      <w:r>
        <w:rPr>
          <w:rFonts w:ascii="Times New Roman" w:cs="Times New Roman" w:eastAsia="Times New Roman" w:hAnsi="Times New Roman"/>
          <w:sz w:val="18"/>
          <w:szCs w:val="18"/>
          <w:color w:val="auto"/>
        </w:rPr>
        <w:t>Date: June 6,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Peng 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26035</wp:posOffset>
            </wp:positionV>
            <wp:extent cx="249428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0"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Peng Li</w:t>
      </w:r>
    </w:p>
    <w:p>
      <w:pPr>
        <w:spacing w:after="0" w:line="27"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Chairman and Chief Executive Officer</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ind w:left="4920"/>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39"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Exhibit No.</w:t>
        <w:tab/>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0" w:lineRule="exact"/>
        <w:rPr>
          <w:sz w:val="20"/>
          <w:szCs w:val="20"/>
          <w:color w:val="auto"/>
        </w:rPr>
      </w:pPr>
    </w:p>
    <w:p>
      <w:pPr>
        <w:ind w:right="2199"/>
        <w:spacing w:after="0" w:line="282" w:lineRule="auto"/>
        <w:rPr>
          <w:sz w:val="20"/>
          <w:szCs w:val="20"/>
          <w:color w:val="auto"/>
        </w:rPr>
      </w:pPr>
      <w:r>
        <w:rPr>
          <w:rFonts w:ascii="Times New Roman" w:cs="Times New Roman" w:eastAsia="Times New Roman" w:hAnsi="Times New Roman"/>
          <w:sz w:val="18"/>
          <w:szCs w:val="18"/>
          <w:color w:val="auto"/>
        </w:rPr>
        <w:t xml:space="preserve">Exhibit 99.1 </w:t>
      </w:r>
      <w:r>
        <w:rPr>
          <w:rFonts w:ascii="Times New Roman" w:cs="Times New Roman" w:eastAsia="Times New Roman" w:hAnsi="Times New Roman"/>
          <w:sz w:val="18"/>
          <w:szCs w:val="18"/>
          <w:u w:val="single" w:color="auto"/>
          <w:color w:val="0000EE"/>
        </w:rPr>
        <w:t>QuantaSing Announces Unaudited Financial Results for the Third Quarter of Fiscal Year 2024</w:t>
      </w:r>
      <w:r>
        <w:rPr>
          <w:rFonts w:ascii="Times New Roman" w:cs="Times New Roman" w:eastAsia="Times New Roman" w:hAnsi="Times New Roman"/>
          <w:sz w:val="18"/>
          <w:szCs w:val="18"/>
          <w:color w:val="auto"/>
        </w:rPr>
        <w:t xml:space="preserve"> Exhibit 99.2 </w:t>
      </w:r>
      <w:r>
        <w:rPr>
          <w:rFonts w:ascii="Times New Roman" w:cs="Times New Roman" w:eastAsia="Times New Roman" w:hAnsi="Times New Roman"/>
          <w:sz w:val="18"/>
          <w:szCs w:val="18"/>
          <w:u w:val="single" w:color="auto"/>
          <w:color w:val="0000EE"/>
        </w:rPr>
        <w:t>QuantaSing Announces Changes in Composition of Board and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1371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5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QuantaSing Announces Unaudited Financial Results for the Third Quarter of Fiscal Year 2024</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Beijing, June 6, 2024 /GLOBE NEWSWIRE/ - QuantaSing Group Limited (NASDAQ: QSG) (“QuantaSing” or the “Company”), a leading online learning service provider in China, today announced its unaudited financial results for the third quarter of the fiscal year ending June 30, 2024 (the “third quarter of FY 2024”, which refers to the quarter from January 1, 2024 to March 31, 2024).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Highlights for the Third Quarter of FY 2024</w:t>
      </w:r>
    </w:p>
    <w:p>
      <w:pPr>
        <w:spacing w:after="0" w:line="225" w:lineRule="exact"/>
        <w:rPr>
          <w:sz w:val="20"/>
          <w:szCs w:val="20"/>
          <w:color w:val="auto"/>
        </w:rPr>
      </w:pPr>
    </w:p>
    <w:p>
      <w:pPr>
        <w:jc w:val="both"/>
        <w:ind w:left="620" w:hanging="302"/>
        <w:spacing w:after="0" w:line="268" w:lineRule="auto"/>
        <w:tabs>
          <w:tab w:leader="none" w:pos="6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Revenues </w:t>
      </w:r>
      <w:r>
        <w:rPr>
          <w:rFonts w:ascii="Times New Roman" w:cs="Times New Roman" w:eastAsia="Times New Roman" w:hAnsi="Times New Roman"/>
          <w:sz w:val="18"/>
          <w:szCs w:val="18"/>
          <w:color w:val="auto"/>
        </w:rPr>
        <w:t>for the third quarter of FY 2024 were RMB945.6 million (US$131.0 million), representing a change of 3.6% from the second quarter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fiscal year ending June 30, 2024 (the “second quarter of FY 2024”) and an increase of 17.1% from the third quarter of the fiscal year ended June 30, 2023 (the “third quarter of FY 2023”).</w:t>
      </w:r>
    </w:p>
    <w:p>
      <w:pPr>
        <w:spacing w:after="0" w:line="201" w:lineRule="exact"/>
        <w:rPr>
          <w:rFonts w:ascii="Times New Roman" w:cs="Times New Roman" w:eastAsia="Times New Roman" w:hAnsi="Times New Roman"/>
          <w:sz w:val="18"/>
          <w:szCs w:val="18"/>
          <w:color w:val="auto"/>
        </w:rPr>
      </w:pPr>
    </w:p>
    <w:p>
      <w:pPr>
        <w:ind w:left="620" w:hanging="302"/>
        <w:spacing w:after="0" w:line="189" w:lineRule="auto"/>
        <w:tabs>
          <w:tab w:leader="none" w:pos="620" w:val="left"/>
        </w:tabs>
        <w:numPr>
          <w:ilvl w:val="0"/>
          <w:numId w:val="1"/>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b w:val="1"/>
          <w:bCs w:val="1"/>
          <w:color w:val="auto"/>
        </w:rPr>
        <w:t>Gross billings of individual online learning services</w:t>
      </w:r>
      <w:r>
        <w:rPr>
          <w:rFonts w:ascii="Times New Roman" w:cs="Times New Roman" w:eastAsia="Times New Roman" w:hAnsi="Times New Roman"/>
          <w:sz w:val="29"/>
          <w:szCs w:val="29"/>
          <w:b w:val="1"/>
          <w:bCs w:val="1"/>
          <w:color w:val="auto"/>
          <w:vertAlign w:val="superscript"/>
        </w:rPr>
        <w:t>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the third quarter of FY 2024 were RMB981.5million (US$135.9 million), representing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 increase of 3.9% from the second quarter of FY 2024 and an increase of 22.1% from the third quarter of FY 2023.</w:t>
      </w:r>
    </w:p>
    <w:p>
      <w:pPr>
        <w:spacing w:after="0" w:line="222" w:lineRule="exact"/>
        <w:rPr>
          <w:rFonts w:ascii="Times New Roman" w:cs="Times New Roman" w:eastAsia="Times New Roman" w:hAnsi="Times New Roman"/>
          <w:sz w:val="36"/>
          <w:szCs w:val="36"/>
          <w:color w:val="auto"/>
          <w:vertAlign w:val="superscript"/>
        </w:rPr>
      </w:pPr>
    </w:p>
    <w:p>
      <w:pPr>
        <w:ind w:left="620" w:hanging="302"/>
        <w:spacing w:after="0" w:line="286" w:lineRule="auto"/>
        <w:tabs>
          <w:tab w:leader="none" w:pos="6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Net income </w:t>
      </w:r>
      <w:r>
        <w:rPr>
          <w:rFonts w:ascii="Times New Roman" w:cs="Times New Roman" w:eastAsia="Times New Roman" w:hAnsi="Times New Roman"/>
          <w:sz w:val="18"/>
          <w:szCs w:val="18"/>
          <w:color w:val="auto"/>
        </w:rPr>
        <w:t>for the third quarter of FY 2024 was RMB14.6 million (US$2.0 million), compared with RMB107.6 million in the second quarter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FY 2024, and a net loss of RMB22.7 million in the third quarter of FY 2023.</w:t>
      </w:r>
    </w:p>
    <w:p>
      <w:pPr>
        <w:spacing w:after="0" w:line="185" w:lineRule="exact"/>
        <w:rPr>
          <w:rFonts w:ascii="Times New Roman" w:cs="Times New Roman" w:eastAsia="Times New Roman" w:hAnsi="Times New Roman"/>
          <w:sz w:val="18"/>
          <w:szCs w:val="18"/>
          <w:color w:val="auto"/>
        </w:rPr>
      </w:pPr>
    </w:p>
    <w:p>
      <w:pPr>
        <w:ind w:left="620" w:hanging="302"/>
        <w:spacing w:after="0" w:line="189" w:lineRule="auto"/>
        <w:tabs>
          <w:tab w:leader="none" w:pos="620" w:val="left"/>
        </w:tabs>
        <w:numPr>
          <w:ilvl w:val="0"/>
          <w:numId w:val="1"/>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b w:val="1"/>
          <w:bCs w:val="1"/>
          <w:color w:val="auto"/>
        </w:rPr>
        <w:t>Adjusted net income</w:t>
      </w:r>
      <w:r>
        <w:rPr>
          <w:rFonts w:ascii="Times New Roman" w:cs="Times New Roman" w:eastAsia="Times New Roman" w:hAnsi="Times New Roman"/>
          <w:sz w:val="29"/>
          <w:szCs w:val="29"/>
          <w:b w:val="1"/>
          <w:bCs w:val="1"/>
          <w:color w:val="auto"/>
          <w:vertAlign w:val="superscript"/>
        </w:rPr>
        <w:t>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the third quarter of FY 2024 was RMB31.9 million (US$4.4 million), compared with RMB103.9 million in the second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quarter of FY 2024, and RMB21.7 million in the third quarter of FY 2023.</w:t>
      </w:r>
    </w:p>
    <w:p>
      <w:pPr>
        <w:spacing w:after="0" w:line="222" w:lineRule="exact"/>
        <w:rPr>
          <w:rFonts w:ascii="Times New Roman" w:cs="Times New Roman" w:eastAsia="Times New Roman" w:hAnsi="Times New Roman"/>
          <w:sz w:val="36"/>
          <w:szCs w:val="36"/>
          <w:color w:val="auto"/>
          <w:vertAlign w:val="superscript"/>
        </w:rPr>
      </w:pPr>
    </w:p>
    <w:p>
      <w:pPr>
        <w:ind w:left="620" w:hanging="302"/>
        <w:spacing w:after="0"/>
        <w:tabs>
          <w:tab w:leader="none" w:pos="6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Total registered users </w:t>
      </w:r>
      <w:r>
        <w:rPr>
          <w:rFonts w:ascii="Times New Roman" w:cs="Times New Roman" w:eastAsia="Times New Roman" w:hAnsi="Times New Roman"/>
          <w:sz w:val="18"/>
          <w:szCs w:val="18"/>
          <w:color w:val="auto"/>
        </w:rPr>
        <w:t>increased by 40.3% to approximately 121.0 million as of March 31, 2024, from 86.3 million as of March 31, 2023.</w:t>
      </w:r>
    </w:p>
    <w:p>
      <w:pPr>
        <w:spacing w:after="0" w:line="252" w:lineRule="exact"/>
        <w:rPr>
          <w:rFonts w:ascii="Times New Roman" w:cs="Times New Roman" w:eastAsia="Times New Roman" w:hAnsi="Times New Roman"/>
          <w:sz w:val="18"/>
          <w:szCs w:val="18"/>
          <w:color w:val="auto"/>
        </w:rPr>
      </w:pPr>
    </w:p>
    <w:p>
      <w:pPr>
        <w:ind w:left="620" w:hanging="302"/>
        <w:spacing w:after="0"/>
        <w:tabs>
          <w:tab w:leader="none" w:pos="6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Paying learners </w:t>
      </w:r>
      <w:r>
        <w:rPr>
          <w:rFonts w:ascii="Times New Roman" w:cs="Times New Roman" w:eastAsia="Times New Roman" w:hAnsi="Times New Roman"/>
          <w:sz w:val="18"/>
          <w:szCs w:val="18"/>
          <w:color w:val="auto"/>
        </w:rPr>
        <w:t>increased by 48.4% year over year to approximately 0.5 million in the third quarter of FY 2024.</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Mr. Peng Li, Chairman and Chief Executive Officer of QuantaSing, commented, “We are pleased to see the positive reception that our expanded course offerings have received from our middle-aged and elderly users. By focusing on their unique interests and needs, such as Traditional Chinese Medicine and recreational exercises like Ba Duan Jin, we are enriching their lives and fostering a vibrant community of lifelong learners. Our recent initiatives, including the educational tour program and the launch of mini-lectures, have received enthusiastic feedback, highlighting robust demand for active aging and continuous learning. During May 2024, our overseas development initiatives made solid progress, as Kelly’s Education opened its first offline school in Hong Kong. Importantly, this quarter’s growth in gross billings and user engagement has further solidified our business fundamentals. As we continue to develop and market consumer products tailored to our middle-aged and elderly users, we are excited about the opportunities ahead to enhance their well-being and extend our reach in the silver economy.”</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Mr. Dong Xie, Chief Financial Officer of QuantaSing, added, “During the third quarter of fiscal year 2024, we achieved total revenues of RMB945.6 million, a 17.1% year-over-year increase driven by robust demand for our skills upgrading courses. We strategically allocated cash flow into new initiatives using our “test-and-scale” approach while closely monitoring our learning business to preserve profitability. Moving forward, our commitment to sustainable and profitable growth will continue to guide our strategic trajectory.”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178308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0"/>
          <w:szCs w:val="20"/>
          <w:color w:val="auto"/>
        </w:rPr>
      </w:pPr>
    </w:p>
    <w:p>
      <w:pPr>
        <w:jc w:val="both"/>
        <w:ind w:left="340" w:hanging="332"/>
        <w:spacing w:after="0" w:line="195" w:lineRule="auto"/>
        <w:tabs>
          <w:tab w:leader="none" w:pos="340" w:val="left"/>
        </w:tabs>
        <w:numPr>
          <w:ilvl w:val="0"/>
          <w:numId w:val="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Gross billings of individual online learning services is a non-GAAP financial measure. For a reconciliation of revenues of individual online learning services to gross billings of individual online learning services, see the “Non-GAAP Financial Measures” section and the table captioned “QuantaSing</w:t>
      </w:r>
    </w:p>
    <w:p>
      <w:pPr>
        <w:spacing w:after="0" w:line="200" w:lineRule="exact"/>
        <w:rPr>
          <w:sz w:val="20"/>
          <w:szCs w:val="20"/>
          <w:color w:val="auto"/>
        </w:rPr>
      </w:pPr>
    </w:p>
    <w:p>
      <w:pPr>
        <w:jc w:val="both"/>
        <w:ind w:left="340" w:hanging="332"/>
        <w:spacing w:after="0" w:line="210" w:lineRule="auto"/>
        <w:tabs>
          <w:tab w:leader="none" w:pos="340" w:val="left"/>
        </w:tabs>
        <w:numPr>
          <w:ilvl w:val="0"/>
          <w:numId w:val="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Adjusted net income/(loss) is a non-GAAP financial measure. For a reconciliation of net (loss)/income to adjusted net income/(loss), see the “Non-GAAP Financial Measures” section and the table captioned “QuantaSing Group Limited Unaudited Reconciliation of GAAP and Non-GAAP Results” below.</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 /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Financial Results for the Third Quarter of FY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Revenues</w:t>
      </w:r>
    </w:p>
    <w:p>
      <w:pPr>
        <w:spacing w:after="0" w:line="229" w:lineRule="exact"/>
        <w:rPr>
          <w:sz w:val="20"/>
          <w:szCs w:val="20"/>
          <w:color w:val="auto"/>
        </w:rPr>
      </w:pPr>
    </w:p>
    <w:p>
      <w:pPr>
        <w:ind w:right="20"/>
        <w:spacing w:after="0" w:line="292" w:lineRule="auto"/>
        <w:rPr>
          <w:sz w:val="20"/>
          <w:szCs w:val="20"/>
          <w:color w:val="auto"/>
        </w:rPr>
      </w:pPr>
      <w:r>
        <w:rPr>
          <w:rFonts w:ascii="Times New Roman" w:cs="Times New Roman" w:eastAsia="Times New Roman" w:hAnsi="Times New Roman"/>
          <w:sz w:val="18"/>
          <w:szCs w:val="18"/>
          <w:color w:val="auto"/>
        </w:rPr>
        <w:t>Revenues increased by 17.1% year over year to RMB945.6 million (US$131.0 million) in the third quarter of FY 2024, primarily driven by the growth in revenues from skills upgrading courses, which primarily consist of courses aiming to improve the soft skills of individuals</w:t>
      </w:r>
      <w:r>
        <w:rPr>
          <w:rFonts w:ascii="Times New Roman" w:cs="Times New Roman" w:eastAsia="Times New Roman" w:hAnsi="Times New Roman"/>
          <w:sz w:val="29"/>
          <w:szCs w:val="29"/>
          <w:b w:val="1"/>
          <w:bCs w:val="1"/>
          <w:color w:val="auto"/>
          <w:vertAlign w:val="superscript"/>
        </w:rPr>
        <w:t>3</w:t>
      </w:r>
      <w:r>
        <w:rPr>
          <w:rFonts w:ascii="Times New Roman" w:cs="Times New Roman" w:eastAsia="Times New Roman" w:hAnsi="Times New Roman"/>
          <w:sz w:val="18"/>
          <w:szCs w:val="18"/>
          <w:color w:val="auto"/>
        </w:rPr>
        <w:t>.</w:t>
      </w:r>
    </w:p>
    <w:p>
      <w:pPr>
        <w:spacing w:after="0" w:line="29" w:lineRule="exact"/>
        <w:rPr>
          <w:sz w:val="20"/>
          <w:szCs w:val="20"/>
          <w:color w:val="auto"/>
        </w:rPr>
      </w:pPr>
    </w:p>
    <w:p>
      <w:pPr>
        <w:jc w:val="both"/>
        <w:ind w:left="660" w:hanging="328"/>
        <w:spacing w:after="0" w:line="224"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Revenues from individual online learning services </w:t>
      </w:r>
      <w:r>
        <w:rPr>
          <w:rFonts w:ascii="Times New Roman" w:cs="Times New Roman" w:eastAsia="Times New Roman" w:hAnsi="Times New Roman"/>
          <w:sz w:val="18"/>
          <w:szCs w:val="18"/>
          <w:color w:val="auto"/>
        </w:rPr>
        <w:t>increased by 14.3% year over year to RMB828.1 million (US$114.7 million) in the third quarter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FY 2024, up from RMB724.7 million in the third quarter of FY 2023. This growth was primarily due to 1) revenues from skills upgrading courses</w:t>
      </w: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color w:val="auto"/>
        </w:rPr>
        <w:t xml:space="preserve"> increased to RMB464.4 million (US$64.3 million) in the third quarter of FY 2024 from RMB205.9 million in the third quarter of FY 2023, and 2) revenues from recreation and leisure courses</w:t>
      </w: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color w:val="auto"/>
        </w:rPr>
        <w:t xml:space="preserve"> increased to RMB95.3 million (US$13.2 million) in the third quarter of FY 2024 from RMB32.1 million in the third quarter of FY 2023, partially offset by the decline of RMB218.2 million (US$30.2 million) in revenues from financial literacy courses.</w:t>
      </w:r>
    </w:p>
    <w:p>
      <w:pPr>
        <w:spacing w:after="0" w:line="197"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Revenues from enterprise services </w:t>
      </w:r>
      <w:r>
        <w:rPr>
          <w:rFonts w:ascii="Times New Roman" w:cs="Times New Roman" w:eastAsia="Times New Roman" w:hAnsi="Times New Roman"/>
          <w:sz w:val="18"/>
          <w:szCs w:val="18"/>
          <w:color w:val="auto"/>
        </w:rPr>
        <w:t>were RMB65.1 million (US$9.0 million) in the third quarter of FY 2024, compared to RMB81.1 million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third quarter of FY 2023, representing a year-over-year change of 19.8%, primarily due to a change in revenue streams from transactions involving related party and external entities, partially offset by an increase in revenue due to higher demand from existing and new customers for marketing services.</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67"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Revenues from othe</w:t>
      </w:r>
      <w:r>
        <w:rPr>
          <w:rFonts w:ascii="Times New Roman" w:cs="Times New Roman" w:eastAsia="Times New Roman" w:hAnsi="Times New Roman"/>
          <w:sz w:val="18"/>
          <w:szCs w:val="18"/>
          <w:color w:val="auto"/>
        </w:rPr>
        <w:t>rs increased to RMB52.4 million (US$7.3 million) in the third quarter of FY 2024 from RMB1.4 million in the third quarter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FY 2023, mainly driven by the increase in revenues from the Company’s newest business endeavor, live e-commerce, which is aligned with its commitment to diversified revenue streams.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 of revenues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Cost of revenues was RMB145.8 million (US$20.2 million) in the third quarter of FY 2024, compared to RMB101.1 million in the third quarter of FY 2023, representing a change of 44.3%. The change was primarily due to increased labor outsourcing costs of RMB23.3 million (US$3.2 million) and higher procurement costs of RMB27.1 million (US$3.7 million), and was partially offset by a RMB15.7 million (US$2.2 million) decrease in staff costs.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and marketing expenses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Sales and marketing expenses were RMB729.6 million (US$101.1 million) in the third quarter of FY 2024, compared to RMB631.4 million in the third quarter of FY 2023, representing a change of 15.6%. The change was mainly due to increases in labor outsourcing costs of RMB84.9 million (US$11.8 million) and marketing and promotion expenses of RMB89.4 million (US$12.4 million), partially offset by a decrease in staff costs of RMB73.7 million (US$10.2 million), which includes a decrease in share-based compensation expenses of RMB9.5 million (US$1.3 million).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 expenses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were RMB38.8 million (US$5.4 million) in the third quarter of FY 2024, compared to RMB49.6 million in the third quarter of FY 2023, representing a decrease of 21.7%. The decrease was primarily due to a decline in staff costs of RMB11.5 million (US$1.6 million), which includes a decrease in share-based compensation expenses of RMB5.2 million (US$0.7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178308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196" w:lineRule="exact"/>
        <w:rPr>
          <w:sz w:val="20"/>
          <w:szCs w:val="20"/>
          <w:color w:val="auto"/>
        </w:rPr>
      </w:pPr>
    </w:p>
    <w:p>
      <w:pPr>
        <w:jc w:val="both"/>
        <w:ind w:left="340" w:hanging="332"/>
        <w:spacing w:after="0" w:line="224" w:lineRule="auto"/>
        <w:tabs>
          <w:tab w:leader="none" w:pos="340" w:val="left"/>
        </w:tabs>
        <w:numPr>
          <w:ilvl w:val="0"/>
          <w:numId w:val="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 Company has adopted a new presentation of its revenues since the second quarter of FY 2024, which split other personal interest courses into skills upgrading courses and recreation and leisure courses, to better align with its business strategies and provide useful and updated information to investors. Skills upgrading courses mainly include short-video production courses and memory training courses. Recreation and leisure courses mainly include personal well-being courses, electronic keyboard courses and standing meditation courses. The historical revenues presentation has been conformed to the current presentation.</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 /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General and administrative expenses</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were RMB36.4 million (US$5.0 million) in the third quarter of FY 2024, compared to RMB48.3 million in the third quarter of FY 2023, representing a decrease of 24.7%. The decrease was primarily due to a decline in share-based compensation expenses and office expenses.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income and adjusted net income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income was RMB14.6 million (US$2.0 million) in the third quarter of FY 2024, compared with a net loss of RMB22.7 million in the third quarter of FY 2023. Adjusted net income was RMB31.9 million (US$4.4 million) in the third quarter of FY 2024, compared with RMB21.7 million in the third quarter of FY 2023.</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Earnings per share and adjusted earnings per share</w:t>
      </w:r>
      <w:r>
        <w:rPr>
          <w:rFonts w:ascii="Times New Roman" w:cs="Times New Roman" w:eastAsia="Times New Roman" w:hAnsi="Times New Roman"/>
          <w:sz w:val="29"/>
          <w:szCs w:val="29"/>
          <w:b w:val="1"/>
          <w:bCs w:val="1"/>
          <w:color w:val="auto"/>
          <w:vertAlign w:val="superscript"/>
        </w:rPr>
        <w:t>4</w:t>
      </w:r>
    </w:p>
    <w:p>
      <w:pPr>
        <w:spacing w:after="0" w:line="13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Basic and diluted net income per share were RMB0.09 (US$0.01) in the third quarter of FY 2024, compared with basic and diluted net loss per share of RMB0.19 in the third quarter of FY 2023. Basic and diluted adjusted net income per share were RMB0.19 (US$0.03) in the third quarter of FY 2024, compared with basic and diluted adjusted net income per share of RMB0.11 in the third quarter of FY 2023.</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Balance Sheet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March 31, 2024, the Company had cash and cash equivalents and short-term investments of RMB1,149.9 million (US$159.3 million), compared with RMB930.6 million as of June 30, 2023.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Outlook</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Based on currently available information, for the fourth quarter of FY 2024 (which refers to the quarter from April 1, 2024 to June 30, 2024), the Company expects its revenues to be in the range of RMB900.0 million to RMB930.0 million, representing a year-over-year increase of 8.7% to 12.3%. The forecasts reflect the Company’s current and preliminary views on the market and its operating conditions, which are subject to change.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June 9, 2023, the Company announced that its board of directors had approved a share repurchase program of up to US$20.0 million of the Company’s Class A ordinary shares in the form of American Depositary Shares (“ADSs”) for a 12-month period beginning on June 9, 2023 (the “Share Repurchase Program”). As of March 31, 2024, the Company had cumulatively repurchased an aggregate of approximately 2.6 million ADSs for approximately US$11.5 million under the Share Repurchase Program.</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March 20, 2024, as part of its initiative to expand the e-commerce business and the AI and technology business, the Company, through one of its wholly-owned PRC subsidiaries, entered into a partnership agreement to form a PRC limited partnership enterprise for future equity investment (the “Partnership”), in which the Company served as a limited partner and committed to subscribing for 43.29% of the interests in the Partnership for an aggregate capital contribution of RMB100.0 million. Up to the date of this press release, the Company has fulfilled its initial capital contribution of RMB3.0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178308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4" w:lineRule="exact"/>
        <w:rPr>
          <w:sz w:val="20"/>
          <w:szCs w:val="20"/>
          <w:color w:val="auto"/>
        </w:rPr>
      </w:pPr>
    </w:p>
    <w:p>
      <w:pPr>
        <w:jc w:val="both"/>
        <w:ind w:left="340" w:hanging="332"/>
        <w:spacing w:after="0" w:line="210" w:lineRule="auto"/>
        <w:tabs>
          <w:tab w:leader="none" w:pos="340" w:val="left"/>
        </w:tabs>
        <w:numPr>
          <w:ilvl w:val="0"/>
          <w:numId w:val="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Basic and diluted adjusted net income/(loss) per ordinary share are non-GAAP financial measures. For a reconciliation of basic and diluted net (loss)/income per ordinary share to basic and diluted adjusted net income/(loss) per ordinary share, see the “Non-GAAP Financial Measures” section and the table captioned “QuantaSing Group Limited Unaudited Reconciliation of GAAP and Non-GAAP Results” below.</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 /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Conference Call Information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management team will hold a conference call at 7:00 A.M. Eastern Time on Thursday, June 6, 2024 (7:00 P.M. Beijing Time on the same day) to discuss the financial results. Listeners may access the call by dialing the following numbers: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International:</w:t>
            </w:r>
          </w:p>
        </w:tc>
        <w:tc>
          <w:tcPr>
            <w:tcW w:w="25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1-412-902-4272</w:t>
            </w:r>
          </w:p>
        </w:tc>
      </w:tr>
      <w:tr>
        <w:trPr>
          <w:trHeight w:val="216"/>
        </w:trPr>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United States Toll Free:</w:t>
            </w:r>
          </w:p>
        </w:tc>
        <w:tc>
          <w:tcPr>
            <w:tcW w:w="25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1-888-346-8982</w:t>
            </w:r>
          </w:p>
        </w:tc>
      </w:tr>
      <w:tr>
        <w:trPr>
          <w:trHeight w:val="216"/>
        </w:trPr>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Mainland China Toll Free:</w:t>
            </w:r>
          </w:p>
        </w:tc>
        <w:tc>
          <w:tcPr>
            <w:tcW w:w="25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4001-201203</w:t>
            </w:r>
          </w:p>
        </w:tc>
      </w:tr>
      <w:tr>
        <w:trPr>
          <w:trHeight w:val="216"/>
        </w:trPr>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Hong Kong Toll Free:</w:t>
            </w:r>
          </w:p>
        </w:tc>
        <w:tc>
          <w:tcPr>
            <w:tcW w:w="25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800-905945</w:t>
            </w:r>
          </w:p>
        </w:tc>
      </w:tr>
      <w:tr>
        <w:trPr>
          <w:trHeight w:val="234"/>
        </w:trPr>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Conference ID:</w:t>
            </w:r>
          </w:p>
        </w:tc>
        <w:tc>
          <w:tcPr>
            <w:tcW w:w="2540" w:type="dxa"/>
            <w:vAlign w:val="bottom"/>
          </w:tcPr>
          <w:p>
            <w:pPr>
              <w:ind w:left="560"/>
              <w:spacing w:after="0"/>
              <w:rPr>
                <w:sz w:val="20"/>
                <w:szCs w:val="20"/>
                <w:color w:val="auto"/>
              </w:rPr>
            </w:pPr>
            <w:r>
              <w:rPr>
                <w:rFonts w:ascii="Times New Roman" w:cs="Times New Roman" w:eastAsia="Times New Roman" w:hAnsi="Times New Roman"/>
                <w:sz w:val="18"/>
                <w:szCs w:val="18"/>
                <w:color w:val="auto"/>
                <w:w w:val="99"/>
              </w:rPr>
              <w:t>QuantaSing Group Limited</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replay will be accessible through June 13, 2024 by dialing the following numbers: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International:</w:t>
            </w:r>
          </w:p>
        </w:tc>
        <w:tc>
          <w:tcPr>
            <w:tcW w:w="1840" w:type="dxa"/>
            <w:vAlign w:val="bottom"/>
          </w:tcPr>
          <w:p>
            <w:pPr>
              <w:ind w:left="660"/>
              <w:spacing w:after="0"/>
              <w:rPr>
                <w:sz w:val="20"/>
                <w:szCs w:val="20"/>
                <w:color w:val="auto"/>
              </w:rPr>
            </w:pPr>
            <w:r>
              <w:rPr>
                <w:rFonts w:ascii="Times New Roman" w:cs="Times New Roman" w:eastAsia="Times New Roman" w:hAnsi="Times New Roman"/>
                <w:sz w:val="18"/>
                <w:szCs w:val="18"/>
                <w:color w:val="auto"/>
                <w:w w:val="99"/>
              </w:rPr>
              <w:t>1-412-317-0088</w:t>
            </w:r>
          </w:p>
        </w:tc>
      </w:tr>
      <w:tr>
        <w:trPr>
          <w:trHeight w:val="216"/>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United States Toll Free:</w:t>
            </w:r>
          </w:p>
        </w:tc>
        <w:tc>
          <w:tcPr>
            <w:tcW w:w="1840" w:type="dxa"/>
            <w:vAlign w:val="bottom"/>
          </w:tcPr>
          <w:p>
            <w:pPr>
              <w:ind w:left="660"/>
              <w:spacing w:after="0"/>
              <w:rPr>
                <w:sz w:val="20"/>
                <w:szCs w:val="20"/>
                <w:color w:val="auto"/>
              </w:rPr>
            </w:pPr>
            <w:r>
              <w:rPr>
                <w:rFonts w:ascii="Times New Roman" w:cs="Times New Roman" w:eastAsia="Times New Roman" w:hAnsi="Times New Roman"/>
                <w:sz w:val="18"/>
                <w:szCs w:val="18"/>
                <w:color w:val="auto"/>
                <w:w w:val="99"/>
              </w:rPr>
              <w:t>1-877-344-7529</w:t>
            </w:r>
          </w:p>
        </w:tc>
      </w:tr>
      <w:tr>
        <w:trPr>
          <w:trHeight w:val="234"/>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Access Code:</w:t>
            </w:r>
          </w:p>
        </w:tc>
        <w:tc>
          <w:tcPr>
            <w:tcW w:w="18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7529094</w:t>
            </w: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live and archived webcast of the conference call will be available at the Company’s investor relations website at https://ir.quantasing.com.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To supplement the Company’s consolidated financial statements, which are prepared and presented in accordance with U.S. GAAP, the Company uses gross billings of individual online learning services, adjusted net income/(loss) and basic and diluted adjusted net income/(loss) per ordinary share as its non-GAAP financial measures. Gross billings of individual online learning services for a specific period represents revenues of the Company’s individual online learning services net of the changes in deferred revenues in such period, further adjusted by value-added tax in such period. Adjusted net income/(loss) represents net (loss)/income excluding share-based compensation expense. Basic and diluted adjusted net income/(loss) per ordinary share represents adjusted net income/(loss) attributable to ordinary shareholders of QuantaSing Group Limited divided by weighted average number of ordinary shares outstanding during the periods used in computing adjusted net income/(loss) per ordinary share, basic and diluted. The Company believes that the non-GAAP financial measures provide useful information about the Company’s results of operations, enhance the overall understanding of the Company’s past performance and future prospects and allow for greater visibility with respect to key metrics used by the Company’s management in its financial and operational decision-making.</w:t>
      </w:r>
    </w:p>
    <w:p>
      <w:pPr>
        <w:spacing w:after="0" w:line="1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non-GAAP financial measures are not defined under U.S. GAAP and are not presented in accordance with U.S. GAAP. The non-GAAP financial measures have limitations as analytical tools, and when assessing the Company’s operating performance, investors should not consider them in isolation, or as a substitute for revenue, net (loss)/income, net (loss)/income per ordinary share, basic and diluted or other consolidated statements of operations data prepared in accordance with U.S. GAAP. The Company’s definition of non-GAAP financial measures may differ from those of industry peers and may not be comparable with their non-GAAP financial measures.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mitigates these limitations by reconciling the non-GAAP financial measures to the most comparable U.S. GAAP performance measures, all of which should be considered when evaluating the Company’s performance. For more information on these non-GAAP financial measures, please see the table captioned “QuantaSing Group Limited Unaudited Reconciliation of GAAP and Non-GAAP Results” near the end of this release.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 /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Exchange Rate Information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announcement contains translations of certain Renminbi (“RMB”) amounts into U.S. dollars (“US$”) at specified rates solely for the convenience of the reader. Unless otherwise stated, all translations from Renminbi to U.S. dollars were made at the rate of RMB7.2203 to US$1.00, the exchange rate on March 29, 2024, set forth in the H.10 statistical release of the Federal Reserve Board. The Company makes no representation that the Renminbi or U.S. dollars amounts referred to could be converted into U.S. dollars or Renminbi, as the case may be, at any particular rate or at all.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 Statements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announcement contains forward-looking statements within the meaning of Section 27A of Securities Act of 1933, as amended and Section 21E of the Securities Exchange Act of 1934, as amended and the Private Securities Litigation Reform Act of 1955. All statements other than statements of historical or current fact included in this press release are forward-looking statements, including but not limited to statements regarding QuantaSing’s financial outlook, beliefs and expectations. These statements can be identified by terminology such as “will,” “expects,” “anticipates,” “future,” “intends,” “plans,” “believes,” “estimates,” “potential,” “continue,” “ongoing,” “targets,” “guidance” and similar statements. Among other things, the Financial Outlook in this announcement contains forward-looking statements. The Company may also make written or oral forward-looking statements in its periodic reports to the U.S. Securities and Exchange Commission (the “SEC”), in its annual report to shareholders, in press releases, and other written materials and in oral statements made by its officers, directors or employees to third parties. Forward-looking statements involve inherent risks and uncertainties. A number of factors could cause actual results to differ materially from those contained in any forward-looking statement, including but not limited to the following: the Company’s growth strategies; its future business development, results of operations and financial condition; its ability to attract and retain new users and learners and to increase the spending and revenues generated from users and learners; its ability to maintain and enhance the recognition and reputation of its brand; its expectations regarding demand for and market acceptance of its services and products; trends and competition in China’s adult learning market; changes in its revenues and certain cost or expense items; the expected growth of China’s adult learning market; PRC governmental policies and regulations relating to the Company’s business and industry, general economic and political conditions in China and globally, and assumptions underlying or related to any of the foregoing. Further information regarding these and other risks, uncertainties, or factors is included in the Company’s filings with the SEC, including, without limitation, the final prospectus related to the IPO filed with the SEC dated January 24, 2023. You are cautioned not to place undue reliance on these forward-looking statements, which speak only as of the date this press release. All forward-looking statements are qualified in their entirety by this cautionary statement, and the Company undertakes no obligation to revise or update any forward-looking statements to reflect events or circumstances after the date hereof.</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QuantaSing Group Limited</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QuantaSing is a leading online service provider in China dedicated to improving people’s quality of life and well-being by providing lifelong personal learning and development opportunities. The Company is the largest service provider in China’s online adult learning market and China’s adult personal interest learning market in terms of revenue, according to a report by Frost &amp; Sullivan based on data from 2022. By leveraging its proprietary tools and technology, QuantaSing offers easy-to-understand, affordable, and accessible online courses to adult learners, empowering users to pursue personal development. Leveraging its extensive experience in individual online learning services and its robust technology infrastructure, the Company has expanded its services to corporate clients, and diversified its operations into its e-commerce business and its AI and technology business.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more information, please visit: https://ir.quantasing.com.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Leah Guo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QuantaSing Group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ir@quantasing.com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+86 (10) 6493-7857</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Robin Yang, Partner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ICR,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QuantaSing.IR@icrinc.com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Phone: +1 (212) 537-0429</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 /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QUANTASING GROUP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for share and per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440" w:type="dxa"/>
            <w:vAlign w:val="bottom"/>
          </w:tcPr>
          <w:p>
            <w:pPr>
              <w:spacing w:after="0"/>
              <w:rPr>
                <w:sz w:val="21"/>
                <w:szCs w:val="21"/>
                <w:color w:val="auto"/>
              </w:rPr>
            </w:pPr>
          </w:p>
        </w:tc>
        <w:tc>
          <w:tcPr>
            <w:tcW w:w="2880" w:type="dxa"/>
            <w:vAlign w:val="bottom"/>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1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194"/>
        </w:trPr>
        <w:tc>
          <w:tcPr>
            <w:tcW w:w="444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1380" w:type="dxa"/>
            <w:vAlign w:val="bottom"/>
            <w:gridSpan w:val="2"/>
          </w:tcPr>
          <w:p>
            <w:pPr>
              <w:jc w:val="center"/>
              <w:ind w:right="220"/>
              <w:spacing w:after="0" w:line="194" w:lineRule="exact"/>
              <w:rPr>
                <w:sz w:val="20"/>
                <w:szCs w:val="20"/>
                <w:color w:val="auto"/>
              </w:rPr>
            </w:pPr>
            <w:r>
              <w:rPr>
                <w:rFonts w:ascii="Times New Roman" w:cs="Times New Roman" w:eastAsia="Times New Roman" w:hAnsi="Times New Roman"/>
                <w:sz w:val="18"/>
                <w:szCs w:val="18"/>
                <w:b w:val="1"/>
                <w:bCs w:val="1"/>
                <w:color w:val="auto"/>
                <w:w w:val="99"/>
              </w:rPr>
              <w:t>June 30,</w:t>
            </w:r>
          </w:p>
        </w:tc>
        <w:tc>
          <w:tcPr>
            <w:tcW w:w="1320" w:type="dxa"/>
            <w:vAlign w:val="bottom"/>
            <w:gridSpan w:val="2"/>
          </w:tcPr>
          <w:p>
            <w:pPr>
              <w:jc w:val="center"/>
              <w:ind w:right="220"/>
              <w:spacing w:after="0" w:line="194" w:lineRule="exact"/>
              <w:rPr>
                <w:sz w:val="20"/>
                <w:szCs w:val="20"/>
                <w:color w:val="auto"/>
              </w:rPr>
            </w:pPr>
            <w:r>
              <w:rPr>
                <w:rFonts w:ascii="Times New Roman" w:cs="Times New Roman" w:eastAsia="Times New Roman" w:hAnsi="Times New Roman"/>
                <w:sz w:val="18"/>
                <w:szCs w:val="18"/>
                <w:b w:val="1"/>
                <w:bCs w:val="1"/>
                <w:color w:val="auto"/>
                <w:w w:val="98"/>
              </w:rPr>
              <w:t>March 31,</w:t>
            </w:r>
          </w:p>
        </w:tc>
        <w:tc>
          <w:tcPr>
            <w:tcW w:w="112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100" w:type="dxa"/>
            <w:vAlign w:val="bottom"/>
          </w:tcPr>
          <w:p>
            <w:pPr>
              <w:spacing w:after="0"/>
              <w:rPr>
                <w:sz w:val="16"/>
                <w:szCs w:val="16"/>
                <w:color w:val="auto"/>
              </w:rPr>
            </w:pPr>
          </w:p>
        </w:tc>
      </w:tr>
      <w:tr>
        <w:trPr>
          <w:trHeight w:val="245"/>
        </w:trPr>
        <w:tc>
          <w:tcPr>
            <w:tcW w:w="4440" w:type="dxa"/>
            <w:vAlign w:val="bottom"/>
          </w:tcPr>
          <w:p>
            <w:pPr>
              <w:spacing w:after="0"/>
              <w:rPr>
                <w:sz w:val="21"/>
                <w:szCs w:val="21"/>
                <w:color w:val="auto"/>
              </w:rPr>
            </w:pPr>
          </w:p>
        </w:tc>
        <w:tc>
          <w:tcPr>
            <w:tcW w:w="4020" w:type="dxa"/>
            <w:vAlign w:val="bottom"/>
            <w:gridSpan w:val="2"/>
          </w:tcPr>
          <w:p>
            <w:pPr>
              <w:jc w:val="center"/>
              <w:ind w:left="281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40" w:type="dxa"/>
            <w:vAlign w:val="bottom"/>
          </w:tcPr>
          <w:p>
            <w:pPr>
              <w:spacing w:after="0"/>
              <w:rPr>
                <w:sz w:val="21"/>
                <w:szCs w:val="21"/>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21"/>
                <w:szCs w:val="21"/>
                <w:color w:val="auto"/>
              </w:rPr>
            </w:pPr>
          </w:p>
        </w:tc>
      </w:tr>
      <w:tr>
        <w:trPr>
          <w:trHeight w:val="238"/>
        </w:trPr>
        <w:tc>
          <w:tcPr>
            <w:tcW w:w="444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11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240" w:type="dxa"/>
            <w:vAlign w:val="bottom"/>
          </w:tcPr>
          <w:p>
            <w:pPr>
              <w:spacing w:after="0"/>
              <w:rPr>
                <w:sz w:val="20"/>
                <w:szCs w:val="20"/>
                <w:color w:val="auto"/>
              </w:rPr>
            </w:pPr>
          </w:p>
        </w:tc>
        <w:tc>
          <w:tcPr>
            <w:tcW w:w="11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220" w:type="dxa"/>
            <w:vAlign w:val="bottom"/>
          </w:tcPr>
          <w:p>
            <w:pPr>
              <w:spacing w:after="0"/>
              <w:rPr>
                <w:sz w:val="20"/>
                <w:szCs w:val="20"/>
                <w:color w:val="auto"/>
              </w:rPr>
            </w:pPr>
          </w:p>
        </w:tc>
        <w:tc>
          <w:tcPr>
            <w:tcW w:w="1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100" w:type="dxa"/>
            <w:vAlign w:val="bottom"/>
          </w:tcPr>
          <w:p>
            <w:pPr>
              <w:spacing w:after="0"/>
              <w:rPr>
                <w:sz w:val="20"/>
                <w:szCs w:val="20"/>
                <w:color w:val="auto"/>
              </w:rPr>
            </w:pPr>
          </w:p>
        </w:tc>
      </w:tr>
      <w:tr>
        <w:trPr>
          <w:trHeight w:val="387"/>
        </w:trPr>
        <w:tc>
          <w:tcPr>
            <w:tcW w:w="4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8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8"/>
        </w:trPr>
        <w:tc>
          <w:tcPr>
            <w:tcW w:w="4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28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4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2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764,281</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971,575</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134,562</w:t>
            </w:r>
          </w:p>
        </w:tc>
      </w:tr>
      <w:tr>
        <w:trPr>
          <w:trHeight w:val="216"/>
        </w:trPr>
        <w:tc>
          <w:tcPr>
            <w:tcW w:w="4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Short-term investments</w:t>
            </w:r>
          </w:p>
        </w:tc>
        <w:tc>
          <w:tcPr>
            <w:tcW w:w="42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166,303</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178,367</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24,704</w:t>
            </w:r>
          </w:p>
        </w:tc>
      </w:tr>
      <w:tr>
        <w:trPr>
          <w:trHeight w:val="216"/>
        </w:trPr>
        <w:tc>
          <w:tcPr>
            <w:tcW w:w="4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receivable, net</w:t>
            </w:r>
          </w:p>
        </w:tc>
        <w:tc>
          <w:tcPr>
            <w:tcW w:w="42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12,251</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28,564</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3,956</w:t>
            </w:r>
          </w:p>
        </w:tc>
      </w:tr>
      <w:tr>
        <w:trPr>
          <w:trHeight w:val="216"/>
        </w:trPr>
        <w:tc>
          <w:tcPr>
            <w:tcW w:w="4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Amounts due from related parties</w:t>
            </w:r>
          </w:p>
        </w:tc>
        <w:tc>
          <w:tcPr>
            <w:tcW w:w="42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29,116</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2,291</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317</w:t>
            </w:r>
          </w:p>
        </w:tc>
      </w:tr>
      <w:tr>
        <w:trPr>
          <w:trHeight w:val="216"/>
        </w:trPr>
        <w:tc>
          <w:tcPr>
            <w:tcW w:w="4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Inventory, net</w:t>
            </w:r>
          </w:p>
        </w:tc>
        <w:tc>
          <w:tcPr>
            <w:tcW w:w="42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7,185</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995</w:t>
            </w:r>
          </w:p>
        </w:tc>
      </w:tr>
      <w:tr>
        <w:trPr>
          <w:trHeight w:val="237"/>
        </w:trPr>
        <w:tc>
          <w:tcPr>
            <w:tcW w:w="4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Prepayments and other current assets</w:t>
            </w:r>
          </w:p>
        </w:tc>
        <w:tc>
          <w:tcPr>
            <w:tcW w:w="42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136,681</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182,877</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25,328</w:t>
            </w:r>
          </w:p>
        </w:tc>
      </w:tr>
      <w:tr>
        <w:trPr>
          <w:trHeight w:val="223"/>
        </w:trPr>
        <w:tc>
          <w:tcPr>
            <w:tcW w:w="44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2880" w:type="dxa"/>
            <w:vAlign w:val="bottom"/>
            <w:tcBorders>
              <w:top w:val="single" w:sz="8" w:color="CCEEFF"/>
              <w:bottom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1,108,632</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1,370,859</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189,862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6"/>
        </w:trPr>
        <w:tc>
          <w:tcPr>
            <w:tcW w:w="444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28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42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7,409</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6,700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928</w:t>
            </w:r>
          </w:p>
        </w:tc>
      </w:tr>
      <w:tr>
        <w:trPr>
          <w:trHeight w:val="216"/>
        </w:trPr>
        <w:tc>
          <w:tcPr>
            <w:tcW w:w="4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Intangible assets, net</w:t>
            </w:r>
          </w:p>
        </w:tc>
        <w:tc>
          <w:tcPr>
            <w:tcW w:w="42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2,807</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389</w:t>
            </w:r>
          </w:p>
        </w:tc>
      </w:tr>
      <w:tr>
        <w:trPr>
          <w:trHeight w:val="216"/>
        </w:trPr>
        <w:tc>
          <w:tcPr>
            <w:tcW w:w="4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42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84,009</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64,891</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8,987</w:t>
            </w:r>
          </w:p>
        </w:tc>
      </w:tr>
      <w:tr>
        <w:trPr>
          <w:trHeight w:val="216"/>
        </w:trPr>
        <w:tc>
          <w:tcPr>
            <w:tcW w:w="4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Deferred tax assets</w:t>
            </w:r>
          </w:p>
        </w:tc>
        <w:tc>
          <w:tcPr>
            <w:tcW w:w="42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2,084</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13,721</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1,900</w:t>
            </w:r>
          </w:p>
        </w:tc>
      </w:tr>
      <w:tr>
        <w:trPr>
          <w:trHeight w:val="216"/>
        </w:trPr>
        <w:tc>
          <w:tcPr>
            <w:tcW w:w="4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Goodwill</w:t>
            </w:r>
          </w:p>
        </w:tc>
        <w:tc>
          <w:tcPr>
            <w:tcW w:w="42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7,389</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1,023</w:t>
            </w:r>
          </w:p>
        </w:tc>
      </w:tr>
      <w:tr>
        <w:trPr>
          <w:trHeight w:val="249"/>
        </w:trPr>
        <w:tc>
          <w:tcPr>
            <w:tcW w:w="4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non-current assets</w:t>
            </w:r>
          </w:p>
        </w:tc>
        <w:tc>
          <w:tcPr>
            <w:tcW w:w="42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21,296</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21,365</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2,959</w:t>
            </w:r>
          </w:p>
        </w:tc>
      </w:tr>
      <w:tr>
        <w:trPr>
          <w:trHeight w:val="203"/>
        </w:trPr>
        <w:tc>
          <w:tcPr>
            <w:tcW w:w="444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2880" w:type="dxa"/>
            <w:vAlign w:val="bottom"/>
            <w:tcBorders>
              <w:top w:val="single" w:sz="8" w:color="CCEEFF"/>
            </w:tcBorders>
          </w:tcPr>
          <w:p>
            <w:pPr>
              <w:spacing w:after="0"/>
              <w:rPr>
                <w:sz w:val="17"/>
                <w:szCs w:val="17"/>
                <w:color w:val="auto"/>
              </w:rPr>
            </w:pPr>
          </w:p>
        </w:tc>
        <w:tc>
          <w:tcPr>
            <w:tcW w:w="11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114,798</w:t>
            </w:r>
          </w:p>
        </w:tc>
        <w:tc>
          <w:tcPr>
            <w:tcW w:w="240" w:type="dxa"/>
            <w:vAlign w:val="bottom"/>
            <w:tcBorders>
              <w:top w:val="single" w:sz="8" w:color="CCEEFF"/>
            </w:tcBorders>
          </w:tcPr>
          <w:p>
            <w:pPr>
              <w:spacing w:after="0"/>
              <w:rPr>
                <w:sz w:val="17"/>
                <w:szCs w:val="17"/>
                <w:color w:val="auto"/>
              </w:rPr>
            </w:pPr>
          </w:p>
        </w:tc>
        <w:tc>
          <w:tcPr>
            <w:tcW w:w="11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116,873</w:t>
            </w:r>
          </w:p>
        </w:tc>
        <w:tc>
          <w:tcPr>
            <w:tcW w:w="220" w:type="dxa"/>
            <w:vAlign w:val="bottom"/>
            <w:tcBorders>
              <w:top w:val="single" w:sz="8" w:color="CCEEFF"/>
            </w:tcBorders>
          </w:tcPr>
          <w:p>
            <w:pPr>
              <w:spacing w:after="0"/>
              <w:rPr>
                <w:sz w:val="17"/>
                <w:szCs w:val="17"/>
                <w:color w:val="auto"/>
              </w:rPr>
            </w:pPr>
          </w:p>
        </w:tc>
        <w:tc>
          <w:tcPr>
            <w:tcW w:w="11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16,186</w:t>
            </w:r>
          </w:p>
        </w:tc>
        <w:tc>
          <w:tcPr>
            <w:tcW w:w="100" w:type="dxa"/>
            <w:vAlign w:val="bottom"/>
            <w:tcBorders>
              <w:top w:val="single" w:sz="8" w:color="CCEEFF"/>
            </w:tcBorders>
          </w:tcPr>
          <w:p>
            <w:pPr>
              <w:spacing w:after="0"/>
              <w:rPr>
                <w:sz w:val="17"/>
                <w:szCs w:val="17"/>
                <w:color w:val="auto"/>
              </w:rPr>
            </w:pPr>
          </w:p>
        </w:tc>
      </w:tr>
      <w:tr>
        <w:trPr>
          <w:trHeight w:val="263"/>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42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1,223,430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1,487,732</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206,048</w:t>
            </w:r>
          </w:p>
        </w:tc>
      </w:tr>
      <w:tr>
        <w:trPr>
          <w:trHeight w:val="21"/>
        </w:trPr>
        <w:tc>
          <w:tcPr>
            <w:tcW w:w="4440" w:type="dxa"/>
            <w:vAlign w:val="bottom"/>
            <w:tcBorders>
              <w:top w:val="single" w:sz="8" w:color="CCEEFF"/>
            </w:tcBorders>
          </w:tcPr>
          <w:p>
            <w:pPr>
              <w:spacing w:after="0" w:line="20" w:lineRule="exact"/>
              <w:rPr>
                <w:sz w:val="1"/>
                <w:szCs w:val="1"/>
                <w:color w:val="auto"/>
              </w:rPr>
            </w:pPr>
          </w:p>
        </w:tc>
        <w:tc>
          <w:tcPr>
            <w:tcW w:w="28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216"/>
        </w:trPr>
        <w:tc>
          <w:tcPr>
            <w:tcW w:w="444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8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28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payables</w:t>
            </w:r>
          </w:p>
        </w:tc>
        <w:tc>
          <w:tcPr>
            <w:tcW w:w="42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62,094</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87,001</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12,049</w:t>
            </w:r>
          </w:p>
        </w:tc>
      </w:tr>
      <w:tr>
        <w:trPr>
          <w:trHeight w:val="216"/>
        </w:trPr>
        <w:tc>
          <w:tcPr>
            <w:tcW w:w="4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42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171,160</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222,664</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30,839</w:t>
            </w:r>
          </w:p>
        </w:tc>
      </w:tr>
      <w:tr>
        <w:trPr>
          <w:trHeight w:val="216"/>
        </w:trPr>
        <w:tc>
          <w:tcPr>
            <w:tcW w:w="4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Income tax payable</w:t>
            </w:r>
          </w:p>
        </w:tc>
        <w:tc>
          <w:tcPr>
            <w:tcW w:w="42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8,794</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5,103</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707</w:t>
            </w:r>
          </w:p>
        </w:tc>
      </w:tr>
      <w:tr>
        <w:trPr>
          <w:trHeight w:val="216"/>
        </w:trPr>
        <w:tc>
          <w:tcPr>
            <w:tcW w:w="4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Contract liabilities, current portion</w:t>
            </w:r>
          </w:p>
        </w:tc>
        <w:tc>
          <w:tcPr>
            <w:tcW w:w="42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517,213</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527,948</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73,120</w:t>
            </w:r>
          </w:p>
        </w:tc>
      </w:tr>
      <w:tr>
        <w:trPr>
          <w:trHeight w:val="216"/>
        </w:trPr>
        <w:tc>
          <w:tcPr>
            <w:tcW w:w="4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Advance from customers</w:t>
            </w:r>
          </w:p>
        </w:tc>
        <w:tc>
          <w:tcPr>
            <w:tcW w:w="42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144,397</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201,124</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27,855</w:t>
            </w:r>
          </w:p>
        </w:tc>
      </w:tr>
      <w:tr>
        <w:trPr>
          <w:trHeight w:val="237"/>
        </w:trPr>
        <w:tc>
          <w:tcPr>
            <w:tcW w:w="4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 liabilities, current portion</w:t>
            </w:r>
          </w:p>
        </w:tc>
        <w:tc>
          <w:tcPr>
            <w:tcW w:w="42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41,092</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46,277</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6,409</w:t>
            </w:r>
          </w:p>
        </w:tc>
      </w:tr>
      <w:tr>
        <w:trPr>
          <w:trHeight w:val="223"/>
        </w:trPr>
        <w:tc>
          <w:tcPr>
            <w:tcW w:w="44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2880" w:type="dxa"/>
            <w:vAlign w:val="bottom"/>
            <w:tcBorders>
              <w:top w:val="single" w:sz="8" w:color="CCEEFF"/>
              <w:bottom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944,750</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1,090,117</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150,979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6"/>
        </w:trPr>
        <w:tc>
          <w:tcPr>
            <w:tcW w:w="444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28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Contract liabilities, non-current portion</w:t>
            </w:r>
          </w:p>
        </w:tc>
        <w:tc>
          <w:tcPr>
            <w:tcW w:w="42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7</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4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lease liabilities, non-current portion</w:t>
            </w:r>
          </w:p>
        </w:tc>
        <w:tc>
          <w:tcPr>
            <w:tcW w:w="42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52,840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29,359</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4,066</w:t>
            </w:r>
          </w:p>
        </w:tc>
      </w:tr>
      <w:tr>
        <w:trPr>
          <w:trHeight w:val="210"/>
        </w:trPr>
        <w:tc>
          <w:tcPr>
            <w:tcW w:w="444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2880" w:type="dxa"/>
            <w:vAlign w:val="bottom"/>
            <w:tcBorders>
              <w:top w:val="single" w:sz="8" w:color="CCEEFF"/>
              <w:bottom w:val="single" w:sz="8" w:color="CCEEFF"/>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52,847</w:t>
            </w:r>
          </w:p>
        </w:tc>
        <w:tc>
          <w:tcPr>
            <w:tcW w:w="240" w:type="dxa"/>
            <w:vAlign w:val="bottom"/>
            <w:tcBorders>
              <w:top w:val="single" w:sz="8" w:color="CCEEFF"/>
              <w:bottom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29,359</w:t>
            </w:r>
          </w:p>
        </w:tc>
        <w:tc>
          <w:tcPr>
            <w:tcW w:w="220" w:type="dxa"/>
            <w:vAlign w:val="bottom"/>
            <w:tcBorders>
              <w:top w:val="single" w:sz="8" w:color="CCEEFF"/>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4,066</w:t>
            </w:r>
          </w:p>
        </w:tc>
        <w:tc>
          <w:tcPr>
            <w:tcW w:w="100" w:type="dxa"/>
            <w:vAlign w:val="bottom"/>
            <w:tcBorders>
              <w:top w:val="single" w:sz="8" w:color="CCEEFF"/>
              <w:bottom w:val="single" w:sz="8" w:color="CCEEFF"/>
            </w:tcBorders>
          </w:tcPr>
          <w:p>
            <w:pPr>
              <w:spacing w:after="0"/>
              <w:rPr>
                <w:sz w:val="18"/>
                <w:szCs w:val="18"/>
                <w:color w:val="auto"/>
              </w:rPr>
            </w:pPr>
          </w:p>
        </w:tc>
      </w:tr>
      <w:tr>
        <w:trPr>
          <w:trHeight w:val="236"/>
        </w:trPr>
        <w:tc>
          <w:tcPr>
            <w:tcW w:w="4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8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997,597</w:t>
            </w:r>
          </w:p>
        </w:tc>
        <w:tc>
          <w:tcPr>
            <w:tcW w:w="2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1,119,476</w:t>
            </w:r>
          </w:p>
        </w:tc>
        <w:tc>
          <w:tcPr>
            <w:tcW w:w="2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155,045</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642"/>
        </w:trPr>
        <w:tc>
          <w:tcPr>
            <w:tcW w:w="444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tcPr>
          <w:p>
            <w:pPr>
              <w:jc w:val="right"/>
              <w:ind w:right="1410"/>
              <w:spacing w:after="0"/>
              <w:rPr>
                <w:sz w:val="20"/>
                <w:szCs w:val="20"/>
                <w:color w:val="auto"/>
              </w:rPr>
            </w:pPr>
            <w:r>
              <w:rPr>
                <w:rFonts w:ascii="Times New Roman" w:cs="Times New Roman" w:eastAsia="Times New Roman" w:hAnsi="Times New Roman"/>
                <w:sz w:val="18"/>
                <w:szCs w:val="18"/>
                <w:color w:val="auto"/>
              </w:rPr>
              <w:t>6 / 10</w:t>
            </w:r>
          </w:p>
        </w:tc>
        <w:tc>
          <w:tcPr>
            <w:tcW w:w="1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QUANTASING GROUP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BALANCE SHEETS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for share and per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320" w:type="dxa"/>
            <w:vAlign w:val="bottom"/>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6"/>
              </w:rPr>
              <w:t>As of</w:t>
            </w:r>
          </w:p>
        </w:tc>
        <w:tc>
          <w:tcPr>
            <w:tcW w:w="11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7320" w:type="dxa"/>
            <w:vAlign w:val="bottom"/>
          </w:tcPr>
          <w:p>
            <w:pPr>
              <w:spacing w:after="0"/>
              <w:rPr>
                <w:sz w:val="16"/>
                <w:szCs w:val="16"/>
                <w:color w:val="auto"/>
              </w:rPr>
            </w:pPr>
          </w:p>
        </w:tc>
        <w:tc>
          <w:tcPr>
            <w:tcW w:w="1380" w:type="dxa"/>
            <w:vAlign w:val="bottom"/>
            <w:gridSpan w:val="2"/>
          </w:tcPr>
          <w:p>
            <w:pPr>
              <w:jc w:val="center"/>
              <w:ind w:right="220"/>
              <w:spacing w:after="0" w:line="194" w:lineRule="exact"/>
              <w:rPr>
                <w:sz w:val="20"/>
                <w:szCs w:val="20"/>
                <w:color w:val="auto"/>
              </w:rPr>
            </w:pPr>
            <w:r>
              <w:rPr>
                <w:rFonts w:ascii="Times New Roman" w:cs="Times New Roman" w:eastAsia="Times New Roman" w:hAnsi="Times New Roman"/>
                <w:sz w:val="18"/>
                <w:szCs w:val="18"/>
                <w:b w:val="1"/>
                <w:bCs w:val="1"/>
                <w:color w:val="auto"/>
                <w:w w:val="99"/>
              </w:rPr>
              <w:t>June 30,</w:t>
            </w:r>
          </w:p>
        </w:tc>
        <w:tc>
          <w:tcPr>
            <w:tcW w:w="1320" w:type="dxa"/>
            <w:vAlign w:val="bottom"/>
            <w:gridSpan w:val="2"/>
          </w:tcPr>
          <w:p>
            <w:pPr>
              <w:jc w:val="center"/>
              <w:ind w:right="220"/>
              <w:spacing w:after="0" w:line="194" w:lineRule="exact"/>
              <w:rPr>
                <w:sz w:val="20"/>
                <w:szCs w:val="20"/>
                <w:color w:val="auto"/>
              </w:rPr>
            </w:pPr>
            <w:r>
              <w:rPr>
                <w:rFonts w:ascii="Times New Roman" w:cs="Times New Roman" w:eastAsia="Times New Roman" w:hAnsi="Times New Roman"/>
                <w:sz w:val="18"/>
                <w:szCs w:val="18"/>
                <w:b w:val="1"/>
                <w:bCs w:val="1"/>
                <w:color w:val="auto"/>
                <w:w w:val="98"/>
              </w:rPr>
              <w:t>March 31,</w:t>
            </w:r>
          </w:p>
        </w:tc>
        <w:tc>
          <w:tcPr>
            <w:tcW w:w="112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7320" w:type="dxa"/>
            <w:vAlign w:val="bottom"/>
          </w:tcPr>
          <w:p>
            <w:pPr>
              <w:spacing w:after="0"/>
              <w:rPr>
                <w:sz w:val="21"/>
                <w:szCs w:val="21"/>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40" w:type="dxa"/>
            <w:vAlign w:val="bottom"/>
          </w:tcPr>
          <w:p>
            <w:pPr>
              <w:spacing w:after="0"/>
              <w:rPr>
                <w:sz w:val="21"/>
                <w:szCs w:val="21"/>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Pr>
          <w:p>
            <w:pPr>
              <w:spacing w:after="0"/>
              <w:rPr>
                <w:sz w:val="21"/>
                <w:szCs w:val="21"/>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732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24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22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Class A ordinary shares</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78</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81</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7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Class B ordinary shares</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34</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Treasury stock</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(75,189)</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(10,414)</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1,171,092</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1,206,870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167,150</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22,182</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17,228</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2,386</w:t>
            </w:r>
          </w:p>
        </w:tc>
        <w:tc>
          <w:tcPr>
            <w:tcW w:w="0" w:type="dxa"/>
            <w:vAlign w:val="bottom"/>
          </w:tcPr>
          <w:p>
            <w:pPr>
              <w:spacing w:after="0"/>
              <w:rPr>
                <w:sz w:val="1"/>
                <w:szCs w:val="1"/>
                <w:color w:val="auto"/>
              </w:rPr>
            </w:pPr>
          </w:p>
        </w:tc>
      </w:tr>
      <w:tr>
        <w:trPr>
          <w:trHeight w:val="237"/>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Accumulative deficit</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(969,688)</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(780,768)</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(108,135)</w:t>
            </w:r>
          </w:p>
        </w:tc>
        <w:tc>
          <w:tcPr>
            <w:tcW w:w="0" w:type="dxa"/>
            <w:vAlign w:val="bottom"/>
          </w:tcPr>
          <w:p>
            <w:pPr>
              <w:spacing w:after="0"/>
              <w:rPr>
                <w:sz w:val="1"/>
                <w:szCs w:val="1"/>
                <w:color w:val="auto"/>
              </w:rPr>
            </w:pPr>
          </w:p>
        </w:tc>
      </w:tr>
      <w:tr>
        <w:trPr>
          <w:trHeight w:val="216"/>
        </w:trPr>
        <w:tc>
          <w:tcPr>
            <w:tcW w:w="7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QUANTASING GROUP LIMITED SHAREHOLDERS’ EQUITY</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223,698</w:t>
            </w:r>
          </w:p>
        </w:tc>
        <w:tc>
          <w:tcPr>
            <w:tcW w:w="2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368,256</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51,003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2,135</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7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225,833</w:t>
            </w:r>
          </w:p>
        </w:tc>
        <w:tc>
          <w:tcPr>
            <w:tcW w:w="240" w:type="dxa"/>
            <w:vAlign w:val="bottom"/>
            <w:tcBorders>
              <w:top w:val="single" w:sz="8" w:color="CCEEFF"/>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368,256</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51,003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1,223,430</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1,487,732</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206,048</w:t>
            </w:r>
          </w:p>
        </w:tc>
        <w:tc>
          <w:tcPr>
            <w:tcW w:w="0" w:type="dxa"/>
            <w:vAlign w:val="bottom"/>
          </w:tcPr>
          <w:p>
            <w:pPr>
              <w:spacing w:after="0"/>
              <w:rPr>
                <w:sz w:val="1"/>
                <w:szCs w:val="1"/>
                <w:color w:val="auto"/>
              </w:rPr>
            </w:pPr>
          </w:p>
        </w:tc>
      </w:tr>
      <w:tr>
        <w:trPr>
          <w:trHeight w:val="21"/>
        </w:trPr>
        <w:tc>
          <w:tcPr>
            <w:tcW w:w="7320" w:type="dxa"/>
            <w:vAlign w:val="bottom"/>
            <w:vMerge w:val="restart"/>
          </w:tcPr>
          <w:p>
            <w:pPr>
              <w:ind w:left="5420"/>
              <w:spacing w:after="0"/>
              <w:rPr>
                <w:sz w:val="20"/>
                <w:szCs w:val="20"/>
                <w:color w:val="auto"/>
              </w:rPr>
            </w:pPr>
            <w:r>
              <w:rPr>
                <w:rFonts w:ascii="Times New Roman" w:cs="Times New Roman" w:eastAsia="Times New Roman" w:hAnsi="Times New Roman"/>
                <w:sz w:val="18"/>
                <w:szCs w:val="18"/>
                <w:color w:val="auto"/>
              </w:rPr>
              <w:t>7 / 10</w:t>
            </w: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7320" w:type="dxa"/>
            <w:vAlign w:val="bottom"/>
            <w:tcBorders>
              <w:bottom w:val="single" w:sz="8" w:color="auto"/>
            </w:tcBorders>
            <w:vMerge w:val="continue"/>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QUANTASING GROUP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OPERATIONS AND COMPREHENSIVE INCOME/(LOSS)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for shares and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80" w:type="dxa"/>
            <w:vAlign w:val="bottom"/>
          </w:tcPr>
          <w:p>
            <w:pPr>
              <w:spacing w:after="0"/>
              <w:rPr>
                <w:sz w:val="18"/>
                <w:szCs w:val="18"/>
                <w:color w:val="auto"/>
              </w:rPr>
            </w:pPr>
          </w:p>
        </w:tc>
        <w:tc>
          <w:tcPr>
            <w:tcW w:w="3680" w:type="dxa"/>
            <w:vAlign w:val="bottom"/>
            <w:gridSpan w:val="6"/>
          </w:tcPr>
          <w:p>
            <w:pPr>
              <w:jc w:val="center"/>
              <w:ind w:right="141"/>
              <w:spacing w:after="0"/>
              <w:rPr>
                <w:sz w:val="20"/>
                <w:szCs w:val="20"/>
                <w:color w:val="auto"/>
              </w:rPr>
            </w:pPr>
            <w:r>
              <w:rPr>
                <w:rFonts w:ascii="Times New Roman" w:cs="Times New Roman" w:eastAsia="Times New Roman" w:hAnsi="Times New Roman"/>
                <w:sz w:val="18"/>
                <w:szCs w:val="18"/>
                <w:b w:val="1"/>
                <w:bCs w:val="1"/>
                <w:color w:val="auto"/>
                <w:w w:val="99"/>
              </w:rPr>
              <w:t>For the Three Months</w:t>
            </w:r>
          </w:p>
        </w:tc>
        <w:tc>
          <w:tcPr>
            <w:tcW w:w="3480" w:type="dxa"/>
            <w:vAlign w:val="bottom"/>
            <w:gridSpan w:val="7"/>
          </w:tcPr>
          <w:p>
            <w:pPr>
              <w:jc w:val="right"/>
              <w:ind w:right="921"/>
              <w:spacing w:after="0"/>
              <w:rPr>
                <w:sz w:val="20"/>
                <w:szCs w:val="20"/>
                <w:color w:val="auto"/>
              </w:rPr>
            </w:pPr>
            <w:r>
              <w:rPr>
                <w:rFonts w:ascii="Times New Roman" w:cs="Times New Roman" w:eastAsia="Times New Roman" w:hAnsi="Times New Roman"/>
                <w:sz w:val="18"/>
                <w:szCs w:val="18"/>
                <w:b w:val="1"/>
                <w:bCs w:val="1"/>
                <w:color w:val="auto"/>
              </w:rPr>
              <w:t>For the Nine Months</w:t>
            </w:r>
          </w:p>
        </w:tc>
      </w:tr>
      <w:tr>
        <w:trPr>
          <w:trHeight w:val="245"/>
        </w:trPr>
        <w:tc>
          <w:tcPr>
            <w:tcW w:w="4080" w:type="dxa"/>
            <w:vAlign w:val="bottom"/>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Ended March 31,</w:t>
            </w:r>
          </w:p>
        </w:tc>
        <w:tc>
          <w:tcPr>
            <w:tcW w:w="102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Ended March 31,</w:t>
            </w:r>
          </w:p>
        </w:tc>
        <w:tc>
          <w:tcPr>
            <w:tcW w:w="10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4080" w:type="dxa"/>
            <w:vAlign w:val="bottom"/>
          </w:tcPr>
          <w:p>
            <w:pPr>
              <w:spacing w:after="0"/>
              <w:rPr>
                <w:sz w:val="20"/>
                <w:szCs w:val="20"/>
                <w:color w:val="auto"/>
              </w:rPr>
            </w:pPr>
          </w:p>
        </w:tc>
        <w:tc>
          <w:tcPr>
            <w:tcW w:w="100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00" w:type="dxa"/>
            <w:vAlign w:val="bottom"/>
          </w:tcPr>
          <w:p>
            <w:pPr>
              <w:spacing w:after="0"/>
              <w:rPr>
                <w:sz w:val="20"/>
                <w:szCs w:val="20"/>
                <w:color w:val="auto"/>
              </w:rPr>
            </w:pPr>
          </w:p>
        </w:tc>
        <w:tc>
          <w:tcPr>
            <w:tcW w:w="102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9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20"/>
                <w:szCs w:val="20"/>
                <w:color w:val="auto"/>
              </w:rPr>
            </w:pPr>
          </w:p>
        </w:tc>
        <w:tc>
          <w:tcPr>
            <w:tcW w:w="114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102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r>
      <w:tr>
        <w:trPr>
          <w:trHeight w:val="238"/>
        </w:trPr>
        <w:tc>
          <w:tcPr>
            <w:tcW w:w="4080" w:type="dxa"/>
            <w:vAlign w:val="bottom"/>
          </w:tcPr>
          <w:p>
            <w:pPr>
              <w:spacing w:after="0"/>
              <w:rPr>
                <w:sz w:val="20"/>
                <w:szCs w:val="20"/>
                <w:color w:val="auto"/>
              </w:rPr>
            </w:pPr>
          </w:p>
        </w:tc>
        <w:tc>
          <w:tcPr>
            <w:tcW w:w="100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RMB</w:t>
            </w:r>
          </w:p>
        </w:tc>
        <w:tc>
          <w:tcPr>
            <w:tcW w:w="220" w:type="dxa"/>
            <w:vAlign w:val="bottom"/>
          </w:tcPr>
          <w:p>
            <w:pPr>
              <w:spacing w:after="0"/>
              <w:rPr>
                <w:sz w:val="20"/>
                <w:szCs w:val="20"/>
                <w:color w:val="auto"/>
              </w:rPr>
            </w:pPr>
          </w:p>
        </w:tc>
        <w:tc>
          <w:tcPr>
            <w:tcW w:w="10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200" w:type="dxa"/>
            <w:vAlign w:val="bottom"/>
          </w:tcPr>
          <w:p>
            <w:pPr>
              <w:spacing w:after="0"/>
              <w:rPr>
                <w:sz w:val="20"/>
                <w:szCs w:val="20"/>
                <w:color w:val="auto"/>
              </w:rPr>
            </w:pPr>
          </w:p>
        </w:tc>
        <w:tc>
          <w:tcPr>
            <w:tcW w:w="102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US$</w:t>
            </w:r>
          </w:p>
        </w:tc>
        <w:tc>
          <w:tcPr>
            <w:tcW w:w="220" w:type="dxa"/>
            <w:vAlign w:val="bottom"/>
          </w:tcPr>
          <w:p>
            <w:pPr>
              <w:spacing w:after="0"/>
              <w:rPr>
                <w:sz w:val="20"/>
                <w:szCs w:val="20"/>
                <w:color w:val="auto"/>
              </w:rPr>
            </w:pPr>
          </w:p>
        </w:tc>
        <w:tc>
          <w:tcPr>
            <w:tcW w:w="92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RMB</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RMB</w:t>
            </w:r>
          </w:p>
        </w:tc>
        <w:tc>
          <w:tcPr>
            <w:tcW w:w="220" w:type="dxa"/>
            <w:vAlign w:val="bottom"/>
          </w:tcPr>
          <w:p>
            <w:pPr>
              <w:spacing w:after="0"/>
              <w:rPr>
                <w:sz w:val="20"/>
                <w:szCs w:val="20"/>
                <w:color w:val="auto"/>
              </w:rPr>
            </w:pPr>
          </w:p>
        </w:tc>
        <w:tc>
          <w:tcPr>
            <w:tcW w:w="102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US$</w:t>
            </w:r>
          </w:p>
        </w:tc>
        <w:tc>
          <w:tcPr>
            <w:tcW w:w="100" w:type="dxa"/>
            <w:vAlign w:val="bottom"/>
          </w:tcPr>
          <w:p>
            <w:pPr>
              <w:spacing w:after="0"/>
              <w:rPr>
                <w:sz w:val="20"/>
                <w:szCs w:val="20"/>
                <w:color w:val="auto"/>
              </w:rPr>
            </w:pPr>
          </w:p>
        </w:tc>
      </w:tr>
      <w:tr>
        <w:trPr>
          <w:trHeight w:val="194"/>
        </w:trPr>
        <w:tc>
          <w:tcPr>
            <w:tcW w:w="40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50"/>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22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8"/>
                <w:szCs w:val="18"/>
                <w:color w:val="auto"/>
              </w:rPr>
              <w:t>807,243</w:t>
            </w:r>
          </w:p>
        </w:tc>
        <w:tc>
          <w:tcPr>
            <w:tcW w:w="12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945,570</w:t>
            </w: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130,960</w:t>
            </w:r>
          </w:p>
        </w:tc>
        <w:tc>
          <w:tcPr>
            <w:tcW w:w="100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2,253,034</w:t>
            </w:r>
          </w:p>
        </w:tc>
        <w:tc>
          <w:tcPr>
            <w:tcW w:w="1360" w:type="dxa"/>
            <w:vAlign w:val="bottom"/>
            <w:gridSpan w:val="3"/>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2,795,248</w:t>
            </w:r>
          </w:p>
        </w:tc>
        <w:tc>
          <w:tcPr>
            <w:tcW w:w="11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387,137</w:t>
            </w:r>
          </w:p>
        </w:tc>
      </w:tr>
      <w:tr>
        <w:trPr>
          <w:trHeight w:val="210"/>
        </w:trPr>
        <w:tc>
          <w:tcPr>
            <w:tcW w:w="40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Cost of revenues</w:t>
            </w: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(101,057</w:t>
            </w:r>
          </w:p>
        </w:tc>
        <w:tc>
          <w:tcPr>
            <w:tcW w:w="220" w:type="dxa"/>
            <w:vAlign w:val="bottom"/>
            <w:tcBorders>
              <w:top w:val="single" w:sz="8" w:color="CCEEFF"/>
              <w:bottom w:val="single" w:sz="8" w:color="CCEEFF"/>
            </w:tcBorders>
          </w:tcPr>
          <w:p>
            <w:pPr>
              <w:jc w:val="right"/>
              <w:ind w:right="78"/>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(145,848</w:t>
            </w:r>
          </w:p>
        </w:tc>
        <w:tc>
          <w:tcPr>
            <w:tcW w:w="200" w:type="dxa"/>
            <w:vAlign w:val="bottom"/>
            <w:tcBorders>
              <w:top w:val="single" w:sz="8" w:color="CCEEFF"/>
              <w:bottom w:val="single" w:sz="8" w:color="CCEEFF"/>
            </w:tcBorders>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(20,200</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(275,372</w:t>
            </w:r>
          </w:p>
        </w:tc>
        <w:tc>
          <w:tcPr>
            <w:tcW w:w="8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CCEEFF"/>
              <w:bottom w:val="single" w:sz="8" w:color="CCEEFF"/>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(409,058</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(56,654</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6"/>
        </w:trPr>
        <w:tc>
          <w:tcPr>
            <w:tcW w:w="40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220" w:type="dxa"/>
            <w:vAlign w:val="bottom"/>
            <w:gridSpan w:val="2"/>
          </w:tcPr>
          <w:p>
            <w:pPr>
              <w:jc w:val="right"/>
              <w:ind w:right="138"/>
              <w:spacing w:after="0"/>
              <w:rPr>
                <w:sz w:val="20"/>
                <w:szCs w:val="20"/>
                <w:color w:val="auto"/>
              </w:rPr>
            </w:pPr>
            <w:r>
              <w:rPr>
                <w:rFonts w:ascii="Times New Roman" w:cs="Times New Roman" w:eastAsia="Times New Roman" w:hAnsi="Times New Roman"/>
                <w:sz w:val="18"/>
                <w:szCs w:val="18"/>
                <w:b w:val="1"/>
                <w:bCs w:val="1"/>
                <w:color w:val="auto"/>
              </w:rPr>
              <w:t>706,186</w:t>
            </w:r>
          </w:p>
        </w:tc>
        <w:tc>
          <w:tcPr>
            <w:tcW w:w="12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b w:val="1"/>
                <w:bCs w:val="1"/>
                <w:color w:val="auto"/>
              </w:rPr>
              <w:t>799,722</w:t>
            </w: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110,760</w:t>
            </w:r>
          </w:p>
        </w:tc>
        <w:tc>
          <w:tcPr>
            <w:tcW w:w="100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b w:val="1"/>
                <w:bCs w:val="1"/>
                <w:color w:val="auto"/>
              </w:rPr>
              <w:t>1,977,662</w:t>
            </w:r>
          </w:p>
        </w:tc>
        <w:tc>
          <w:tcPr>
            <w:tcW w:w="1360" w:type="dxa"/>
            <w:vAlign w:val="bottom"/>
            <w:gridSpan w:val="3"/>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2,386,190</w:t>
            </w:r>
          </w:p>
        </w:tc>
        <w:tc>
          <w:tcPr>
            <w:tcW w:w="11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330,483</w:t>
            </w:r>
          </w:p>
        </w:tc>
      </w:tr>
      <w:tr>
        <w:trPr>
          <w:trHeight w:val="216"/>
        </w:trPr>
        <w:tc>
          <w:tcPr>
            <w:tcW w:w="40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1220" w:type="dxa"/>
            <w:vAlign w:val="bottom"/>
            <w:gridSpan w:val="2"/>
            <w:shd w:val="clear" w:color="auto" w:fill="CCEEFF"/>
          </w:tcPr>
          <w:p>
            <w:pPr>
              <w:jc w:val="right"/>
              <w:ind w:right="78"/>
              <w:spacing w:after="0"/>
              <w:rPr>
                <w:sz w:val="20"/>
                <w:szCs w:val="20"/>
                <w:color w:val="auto"/>
              </w:rPr>
            </w:pPr>
            <w:r>
              <w:rPr>
                <w:rFonts w:ascii="Times New Roman" w:cs="Times New Roman" w:eastAsia="Times New Roman" w:hAnsi="Times New Roman"/>
                <w:sz w:val="18"/>
                <w:szCs w:val="18"/>
                <w:color w:val="auto"/>
              </w:rPr>
              <w:t>(631,380)</w:t>
            </w:r>
          </w:p>
        </w:tc>
        <w:tc>
          <w:tcPr>
            <w:tcW w:w="12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(729,620)</w:t>
            </w:r>
          </w:p>
        </w:tc>
        <w:tc>
          <w:tcPr>
            <w:tcW w:w="12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(101,051)</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(1,835,439)</w:t>
            </w:r>
          </w:p>
        </w:tc>
        <w:tc>
          <w:tcPr>
            <w:tcW w:w="1360" w:type="dxa"/>
            <w:vAlign w:val="bottom"/>
            <w:gridSpan w:val="3"/>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(2,006,884)</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(277,950)</w:t>
            </w:r>
          </w:p>
        </w:tc>
      </w:tr>
      <w:tr>
        <w:trPr>
          <w:trHeight w:val="216"/>
        </w:trPr>
        <w:tc>
          <w:tcPr>
            <w:tcW w:w="4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220" w:type="dxa"/>
            <w:vAlign w:val="bottom"/>
            <w:gridSpan w:val="2"/>
          </w:tcPr>
          <w:p>
            <w:pPr>
              <w:jc w:val="right"/>
              <w:ind w:right="78"/>
              <w:spacing w:after="0"/>
              <w:rPr>
                <w:sz w:val="20"/>
                <w:szCs w:val="20"/>
                <w:color w:val="auto"/>
              </w:rPr>
            </w:pPr>
            <w:r>
              <w:rPr>
                <w:rFonts w:ascii="Times New Roman" w:cs="Times New Roman" w:eastAsia="Times New Roman" w:hAnsi="Times New Roman"/>
                <w:sz w:val="18"/>
                <w:szCs w:val="18"/>
                <w:color w:val="auto"/>
              </w:rPr>
              <w:t>(49,601)</w:t>
            </w:r>
          </w:p>
        </w:tc>
        <w:tc>
          <w:tcPr>
            <w:tcW w:w="12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(38,840)</w:t>
            </w:r>
          </w:p>
        </w:tc>
        <w:tc>
          <w:tcPr>
            <w:tcW w:w="12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(5,379)</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(166,171)</w:t>
            </w:r>
          </w:p>
        </w:tc>
        <w:tc>
          <w:tcPr>
            <w:tcW w:w="1360" w:type="dxa"/>
            <w:vAlign w:val="bottom"/>
            <w:gridSpan w:val="3"/>
          </w:tcPr>
          <w:p>
            <w:pPr>
              <w:jc w:val="right"/>
              <w:ind w:right="81"/>
              <w:spacing w:after="0"/>
              <w:rPr>
                <w:sz w:val="20"/>
                <w:szCs w:val="20"/>
                <w:color w:val="auto"/>
              </w:rPr>
            </w:pPr>
            <w:r>
              <w:rPr>
                <w:rFonts w:ascii="Times New Roman" w:cs="Times New Roman" w:eastAsia="Times New Roman" w:hAnsi="Times New Roman"/>
                <w:sz w:val="18"/>
                <w:szCs w:val="18"/>
                <w:color w:val="auto"/>
              </w:rPr>
              <w:t>(123,655)</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(17,126)</w:t>
            </w:r>
          </w:p>
        </w:tc>
      </w:tr>
      <w:tr>
        <w:trPr>
          <w:trHeight w:val="249"/>
        </w:trPr>
        <w:tc>
          <w:tcPr>
            <w:tcW w:w="4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220" w:type="dxa"/>
            <w:vAlign w:val="bottom"/>
            <w:gridSpan w:val="2"/>
            <w:shd w:val="clear" w:color="auto" w:fill="CCEEFF"/>
          </w:tcPr>
          <w:p>
            <w:pPr>
              <w:jc w:val="right"/>
              <w:ind w:right="78"/>
              <w:spacing w:after="0"/>
              <w:rPr>
                <w:sz w:val="20"/>
                <w:szCs w:val="20"/>
                <w:color w:val="auto"/>
              </w:rPr>
            </w:pPr>
            <w:r>
              <w:rPr>
                <w:rFonts w:ascii="Times New Roman" w:cs="Times New Roman" w:eastAsia="Times New Roman" w:hAnsi="Times New Roman"/>
                <w:sz w:val="18"/>
                <w:szCs w:val="18"/>
                <w:color w:val="auto"/>
              </w:rPr>
              <w:t>(48,309)</w:t>
            </w:r>
          </w:p>
        </w:tc>
        <w:tc>
          <w:tcPr>
            <w:tcW w:w="12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(36,390)</w:t>
            </w:r>
          </w:p>
        </w:tc>
        <w:tc>
          <w:tcPr>
            <w:tcW w:w="12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(5,040)</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(137,225)</w:t>
            </w:r>
          </w:p>
        </w:tc>
        <w:tc>
          <w:tcPr>
            <w:tcW w:w="1360" w:type="dxa"/>
            <w:vAlign w:val="bottom"/>
            <w:gridSpan w:val="3"/>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(114,211)</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(15,818)</w:t>
            </w:r>
          </w:p>
        </w:tc>
      </w:tr>
      <w:tr>
        <w:trPr>
          <w:trHeight w:val="210"/>
        </w:trPr>
        <w:tc>
          <w:tcPr>
            <w:tcW w:w="40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(729,290</w:t>
            </w:r>
          </w:p>
        </w:tc>
        <w:tc>
          <w:tcPr>
            <w:tcW w:w="220" w:type="dxa"/>
            <w:vAlign w:val="bottom"/>
            <w:tcBorders>
              <w:top w:val="single" w:sz="8" w:color="CCEEFF"/>
              <w:bottom w:val="single" w:sz="8" w:color="CCEEFF"/>
            </w:tcBorders>
          </w:tcPr>
          <w:p>
            <w:pPr>
              <w:jc w:val="right"/>
              <w:ind w:right="78"/>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(804,850</w:t>
            </w:r>
          </w:p>
        </w:tc>
        <w:tc>
          <w:tcPr>
            <w:tcW w:w="200" w:type="dxa"/>
            <w:vAlign w:val="bottom"/>
            <w:tcBorders>
              <w:top w:val="single" w:sz="8" w:color="CCEEFF"/>
              <w:bottom w:val="single" w:sz="8" w:color="CCEEFF"/>
            </w:tcBorders>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(111,470</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(2,138,835</w:t>
            </w:r>
          </w:p>
        </w:tc>
        <w:tc>
          <w:tcPr>
            <w:tcW w:w="8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40" w:type="dxa"/>
            <w:vAlign w:val="bottom"/>
            <w:tcBorders>
              <w:top w:val="single" w:sz="8" w:color="CCEEFF"/>
              <w:bottom w:val="single" w:sz="8" w:color="CCEEFF"/>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(2,244,750</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(310,894</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16"/>
        </w:trPr>
        <w:tc>
          <w:tcPr>
            <w:tcW w:w="40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7"/>
        </w:trPr>
        <w:tc>
          <w:tcPr>
            <w:tcW w:w="4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(Loss)/Income from operations</w:t>
            </w:r>
          </w:p>
        </w:tc>
        <w:tc>
          <w:tcPr>
            <w:tcW w:w="1220" w:type="dxa"/>
            <w:vAlign w:val="bottom"/>
            <w:gridSpan w:val="2"/>
          </w:tcPr>
          <w:p>
            <w:pPr>
              <w:jc w:val="right"/>
              <w:ind w:right="78"/>
              <w:spacing w:after="0"/>
              <w:rPr>
                <w:sz w:val="20"/>
                <w:szCs w:val="20"/>
                <w:color w:val="auto"/>
              </w:rPr>
            </w:pPr>
            <w:r>
              <w:rPr>
                <w:rFonts w:ascii="Times New Roman" w:cs="Times New Roman" w:eastAsia="Times New Roman" w:hAnsi="Times New Roman"/>
                <w:sz w:val="18"/>
                <w:szCs w:val="18"/>
                <w:b w:val="1"/>
                <w:bCs w:val="1"/>
                <w:color w:val="auto"/>
              </w:rPr>
              <w:t>(23,104)</w:t>
            </w:r>
          </w:p>
        </w:tc>
        <w:tc>
          <w:tcPr>
            <w:tcW w:w="12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(5,128)</w:t>
            </w:r>
          </w:p>
        </w:tc>
        <w:tc>
          <w:tcPr>
            <w:tcW w:w="12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(710)</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(161,173)</w:t>
            </w:r>
          </w:p>
        </w:tc>
        <w:tc>
          <w:tcPr>
            <w:tcW w:w="1360" w:type="dxa"/>
            <w:vAlign w:val="bottom"/>
            <w:gridSpan w:val="3"/>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141,440</w:t>
            </w:r>
          </w:p>
        </w:tc>
        <w:tc>
          <w:tcPr>
            <w:tcW w:w="11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19,589</w:t>
            </w:r>
          </w:p>
        </w:tc>
      </w:tr>
      <w:tr>
        <w:trPr>
          <w:trHeight w:val="216"/>
        </w:trPr>
        <w:tc>
          <w:tcPr>
            <w:tcW w:w="408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income:</w:t>
            </w: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income</w:t>
            </w:r>
          </w:p>
        </w:tc>
        <w:tc>
          <w:tcPr>
            <w:tcW w:w="122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8"/>
                <w:szCs w:val="18"/>
                <w:color w:val="auto"/>
              </w:rPr>
              <w:t>1,811</w:t>
            </w:r>
          </w:p>
        </w:tc>
        <w:tc>
          <w:tcPr>
            <w:tcW w:w="12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2,513</w:t>
            </w: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348</w:t>
            </w:r>
          </w:p>
        </w:tc>
        <w:tc>
          <w:tcPr>
            <w:tcW w:w="100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2,659</w:t>
            </w:r>
          </w:p>
        </w:tc>
        <w:tc>
          <w:tcPr>
            <w:tcW w:w="1360" w:type="dxa"/>
            <w:vAlign w:val="bottom"/>
            <w:gridSpan w:val="3"/>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8,369</w:t>
            </w:r>
          </w:p>
        </w:tc>
        <w:tc>
          <w:tcPr>
            <w:tcW w:w="11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1,159</w:t>
            </w:r>
          </w:p>
        </w:tc>
      </w:tr>
      <w:tr>
        <w:trPr>
          <w:trHeight w:val="236"/>
        </w:trPr>
        <w:tc>
          <w:tcPr>
            <w:tcW w:w="4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Others, net</w:t>
            </w:r>
          </w:p>
        </w:tc>
        <w:tc>
          <w:tcPr>
            <w:tcW w:w="1220" w:type="dxa"/>
            <w:vAlign w:val="bottom"/>
            <w:gridSpan w:val="2"/>
          </w:tcPr>
          <w:p>
            <w:pPr>
              <w:jc w:val="right"/>
              <w:ind w:right="138"/>
              <w:spacing w:after="0"/>
              <w:rPr>
                <w:sz w:val="20"/>
                <w:szCs w:val="20"/>
                <w:color w:val="auto"/>
              </w:rPr>
            </w:pPr>
            <w:r>
              <w:rPr>
                <w:rFonts w:ascii="Times New Roman" w:cs="Times New Roman" w:eastAsia="Times New Roman" w:hAnsi="Times New Roman"/>
                <w:sz w:val="18"/>
                <w:szCs w:val="18"/>
                <w:color w:val="auto"/>
              </w:rPr>
              <w:t>5,206</w:t>
            </w:r>
          </w:p>
        </w:tc>
        <w:tc>
          <w:tcPr>
            <w:tcW w:w="12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7,685</w:t>
            </w: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1,064</w:t>
            </w:r>
          </w:p>
        </w:tc>
        <w:tc>
          <w:tcPr>
            <w:tcW w:w="100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15,158</w:t>
            </w:r>
          </w:p>
        </w:tc>
        <w:tc>
          <w:tcPr>
            <w:tcW w:w="1360" w:type="dxa"/>
            <w:vAlign w:val="bottom"/>
            <w:gridSpan w:val="3"/>
          </w:tcPr>
          <w:p>
            <w:pPr>
              <w:jc w:val="right"/>
              <w:ind w:right="141"/>
              <w:spacing w:after="0"/>
              <w:rPr>
                <w:sz w:val="20"/>
                <w:szCs w:val="20"/>
                <w:color w:val="auto"/>
              </w:rPr>
            </w:pPr>
            <w:r>
              <w:rPr>
                <w:rFonts w:ascii="Times New Roman" w:cs="Times New Roman" w:eastAsia="Times New Roman" w:hAnsi="Times New Roman"/>
                <w:sz w:val="18"/>
                <w:szCs w:val="18"/>
                <w:color w:val="auto"/>
              </w:rPr>
              <w:t>22,163</w:t>
            </w:r>
          </w:p>
        </w:tc>
        <w:tc>
          <w:tcPr>
            <w:tcW w:w="11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3,070</w:t>
            </w:r>
          </w:p>
        </w:tc>
      </w:tr>
      <w:tr>
        <w:trPr>
          <w:trHeight w:val="216"/>
        </w:trPr>
        <w:tc>
          <w:tcPr>
            <w:tcW w:w="408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(Loss)/Income before income tax</w:t>
            </w:r>
          </w:p>
        </w:tc>
        <w:tc>
          <w:tcPr>
            <w:tcW w:w="1220" w:type="dxa"/>
            <w:vAlign w:val="bottom"/>
            <w:gridSpan w:val="2"/>
          </w:tcPr>
          <w:p>
            <w:pPr>
              <w:jc w:val="right"/>
              <w:ind w:right="78"/>
              <w:spacing w:after="0"/>
              <w:rPr>
                <w:sz w:val="20"/>
                <w:szCs w:val="20"/>
                <w:color w:val="auto"/>
              </w:rPr>
            </w:pPr>
            <w:r>
              <w:rPr>
                <w:rFonts w:ascii="Times New Roman" w:cs="Times New Roman" w:eastAsia="Times New Roman" w:hAnsi="Times New Roman"/>
                <w:sz w:val="18"/>
                <w:szCs w:val="18"/>
                <w:b w:val="1"/>
                <w:bCs w:val="1"/>
                <w:color w:val="auto"/>
              </w:rPr>
              <w:t>(16,087)</w:t>
            </w:r>
          </w:p>
        </w:tc>
        <w:tc>
          <w:tcPr>
            <w:tcW w:w="12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b w:val="1"/>
                <w:bCs w:val="1"/>
                <w:color w:val="auto"/>
              </w:rPr>
              <w:t>5,070</w:t>
            </w: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702</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(143,356)</w:t>
            </w:r>
          </w:p>
        </w:tc>
        <w:tc>
          <w:tcPr>
            <w:tcW w:w="1360" w:type="dxa"/>
            <w:vAlign w:val="bottom"/>
            <w:gridSpan w:val="3"/>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171,972</w:t>
            </w:r>
          </w:p>
        </w:tc>
        <w:tc>
          <w:tcPr>
            <w:tcW w:w="11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23,818</w:t>
            </w:r>
          </w:p>
        </w:tc>
      </w:tr>
      <w:tr>
        <w:trPr>
          <w:trHeight w:val="236"/>
        </w:trPr>
        <w:tc>
          <w:tcPr>
            <w:tcW w:w="40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Income tax (expense)/benefit</w:t>
            </w:r>
          </w:p>
        </w:tc>
        <w:tc>
          <w:tcPr>
            <w:tcW w:w="1220" w:type="dxa"/>
            <w:vAlign w:val="bottom"/>
            <w:gridSpan w:val="2"/>
            <w:shd w:val="clear" w:color="auto" w:fill="CCEEFF"/>
          </w:tcPr>
          <w:p>
            <w:pPr>
              <w:jc w:val="right"/>
              <w:ind w:right="78"/>
              <w:spacing w:after="0"/>
              <w:rPr>
                <w:sz w:val="20"/>
                <w:szCs w:val="20"/>
                <w:color w:val="auto"/>
              </w:rPr>
            </w:pPr>
            <w:r>
              <w:rPr>
                <w:rFonts w:ascii="Times New Roman" w:cs="Times New Roman" w:eastAsia="Times New Roman" w:hAnsi="Times New Roman"/>
                <w:sz w:val="18"/>
                <w:szCs w:val="18"/>
                <w:color w:val="auto"/>
              </w:rPr>
              <w:t>(6,576)</w:t>
            </w:r>
          </w:p>
        </w:tc>
        <w:tc>
          <w:tcPr>
            <w:tcW w:w="12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9,560</w:t>
            </w: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1,324</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(17,986)</w:t>
            </w:r>
          </w:p>
        </w:tc>
        <w:tc>
          <w:tcPr>
            <w:tcW w:w="1360" w:type="dxa"/>
            <w:vAlign w:val="bottom"/>
            <w:gridSpan w:val="3"/>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16,948</w:t>
            </w:r>
          </w:p>
        </w:tc>
        <w:tc>
          <w:tcPr>
            <w:tcW w:w="11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2,347</w:t>
            </w:r>
          </w:p>
        </w:tc>
      </w:tr>
      <w:tr>
        <w:trPr>
          <w:trHeight w:val="216"/>
        </w:trPr>
        <w:tc>
          <w:tcPr>
            <w:tcW w:w="4080" w:type="dxa"/>
            <w:vAlign w:val="bottom"/>
            <w:tcBorders>
              <w:top w:val="single" w:sz="8" w:color="CCEEFF"/>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6"/>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 income</w:t>
            </w:r>
          </w:p>
        </w:tc>
        <w:tc>
          <w:tcPr>
            <w:tcW w:w="1220" w:type="dxa"/>
            <w:vAlign w:val="bottom"/>
            <w:gridSpan w:val="2"/>
            <w:shd w:val="clear" w:color="auto" w:fill="CCEEFF"/>
          </w:tcPr>
          <w:p>
            <w:pPr>
              <w:jc w:val="right"/>
              <w:ind w:right="78"/>
              <w:spacing w:after="0"/>
              <w:rPr>
                <w:sz w:val="20"/>
                <w:szCs w:val="20"/>
                <w:color w:val="auto"/>
              </w:rPr>
            </w:pPr>
            <w:r>
              <w:rPr>
                <w:rFonts w:ascii="Times New Roman" w:cs="Times New Roman" w:eastAsia="Times New Roman" w:hAnsi="Times New Roman"/>
                <w:sz w:val="18"/>
                <w:szCs w:val="18"/>
                <w:b w:val="1"/>
                <w:bCs w:val="1"/>
                <w:color w:val="auto"/>
              </w:rPr>
              <w:t>(22,663)</w:t>
            </w:r>
          </w:p>
        </w:tc>
        <w:tc>
          <w:tcPr>
            <w:tcW w:w="12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b w:val="1"/>
                <w:bCs w:val="1"/>
                <w:color w:val="auto"/>
              </w:rPr>
              <w:t>14,630</w:t>
            </w: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(161,342)</w:t>
            </w:r>
          </w:p>
        </w:tc>
        <w:tc>
          <w:tcPr>
            <w:tcW w:w="1360" w:type="dxa"/>
            <w:vAlign w:val="bottom"/>
            <w:gridSpan w:val="3"/>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188,920</w:t>
            </w:r>
          </w:p>
        </w:tc>
        <w:tc>
          <w:tcPr>
            <w:tcW w:w="11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26,165</w:t>
            </w:r>
          </w:p>
        </w:tc>
      </w:tr>
      <w:tr>
        <w:trPr>
          <w:trHeight w:val="216"/>
        </w:trPr>
        <w:tc>
          <w:tcPr>
            <w:tcW w:w="4080" w:type="dxa"/>
            <w:vAlign w:val="bottom"/>
            <w:tcBorders>
              <w:top w:val="single" w:sz="8" w:color="CCEEFF"/>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comprehensive income/(loss)</w:t>
            </w: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8"/>
        </w:trPr>
        <w:tc>
          <w:tcPr>
            <w:tcW w:w="4080" w:type="dxa"/>
            <w:vAlign w:val="bottom"/>
          </w:tcPr>
          <w:p>
            <w:pPr>
              <w:ind w:left="100"/>
              <w:spacing w:after="0" w:line="198" w:lineRule="exact"/>
              <w:rPr>
                <w:sz w:val="20"/>
                <w:szCs w:val="20"/>
                <w:color w:val="auto"/>
              </w:rPr>
            </w:pPr>
            <w:r>
              <w:rPr>
                <w:rFonts w:ascii="Times New Roman" w:cs="Times New Roman" w:eastAsia="Times New Roman" w:hAnsi="Times New Roman"/>
                <w:sz w:val="18"/>
                <w:szCs w:val="18"/>
                <w:color w:val="auto"/>
              </w:rPr>
              <w:t>Foreign currency translation adjustments, net of nil</w:t>
            </w: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40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tax</w:t>
            </w:r>
          </w:p>
        </w:tc>
        <w:tc>
          <w:tcPr>
            <w:tcW w:w="1220" w:type="dxa"/>
            <w:vAlign w:val="bottom"/>
            <w:gridSpan w:val="2"/>
          </w:tcPr>
          <w:p>
            <w:pPr>
              <w:jc w:val="right"/>
              <w:ind w:right="138"/>
              <w:spacing w:after="0"/>
              <w:rPr>
                <w:sz w:val="20"/>
                <w:szCs w:val="20"/>
                <w:color w:val="auto"/>
              </w:rPr>
            </w:pPr>
            <w:r>
              <w:rPr>
                <w:rFonts w:ascii="Times New Roman" w:cs="Times New Roman" w:eastAsia="Times New Roman" w:hAnsi="Times New Roman"/>
                <w:sz w:val="18"/>
                <w:szCs w:val="18"/>
                <w:color w:val="auto"/>
              </w:rPr>
              <w:t>3,461</w:t>
            </w:r>
          </w:p>
        </w:tc>
        <w:tc>
          <w:tcPr>
            <w:tcW w:w="12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423</w:t>
            </w: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59</w:t>
            </w:r>
          </w:p>
        </w:tc>
        <w:tc>
          <w:tcPr>
            <w:tcW w:w="100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4,798</w:t>
            </w:r>
          </w:p>
        </w:tc>
        <w:tc>
          <w:tcPr>
            <w:tcW w:w="1360" w:type="dxa"/>
            <w:vAlign w:val="bottom"/>
            <w:gridSpan w:val="3"/>
          </w:tcPr>
          <w:p>
            <w:pPr>
              <w:jc w:val="right"/>
              <w:ind w:right="81"/>
              <w:spacing w:after="0"/>
              <w:rPr>
                <w:sz w:val="20"/>
                <w:szCs w:val="20"/>
                <w:color w:val="auto"/>
              </w:rPr>
            </w:pPr>
            <w:r>
              <w:rPr>
                <w:rFonts w:ascii="Times New Roman" w:cs="Times New Roman" w:eastAsia="Times New Roman" w:hAnsi="Times New Roman"/>
                <w:sz w:val="18"/>
                <w:szCs w:val="18"/>
                <w:color w:val="auto"/>
              </w:rPr>
              <w:t>(4,954)</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(686)</w:t>
            </w:r>
          </w:p>
        </w:tc>
      </w:tr>
      <w:tr>
        <w:trPr>
          <w:trHeight w:val="236"/>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other comprehensive income/(loss)</w:t>
            </w:r>
          </w:p>
        </w:tc>
        <w:tc>
          <w:tcPr>
            <w:tcW w:w="122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8"/>
                <w:szCs w:val="18"/>
                <w:b w:val="1"/>
                <w:bCs w:val="1"/>
                <w:color w:val="auto"/>
              </w:rPr>
              <w:t>3,461</w:t>
            </w:r>
          </w:p>
        </w:tc>
        <w:tc>
          <w:tcPr>
            <w:tcW w:w="12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b w:val="1"/>
                <w:bCs w:val="1"/>
                <w:color w:val="auto"/>
              </w:rPr>
              <w:t>423</w:t>
            </w: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59</w:t>
            </w:r>
          </w:p>
        </w:tc>
        <w:tc>
          <w:tcPr>
            <w:tcW w:w="100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b w:val="1"/>
                <w:bCs w:val="1"/>
                <w:color w:val="auto"/>
              </w:rPr>
              <w:t>4,798</w:t>
            </w:r>
          </w:p>
        </w:tc>
        <w:tc>
          <w:tcPr>
            <w:tcW w:w="1360" w:type="dxa"/>
            <w:vAlign w:val="bottom"/>
            <w:gridSpan w:val="3"/>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(4,954)</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(686)</w:t>
            </w:r>
          </w:p>
        </w:tc>
      </w:tr>
      <w:tr>
        <w:trPr>
          <w:trHeight w:val="216"/>
        </w:trPr>
        <w:tc>
          <w:tcPr>
            <w:tcW w:w="4080" w:type="dxa"/>
            <w:vAlign w:val="bottom"/>
            <w:tcBorders>
              <w:top w:val="single" w:sz="8" w:color="CCEEFF"/>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63"/>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comprehensive (loss)/income</w:t>
            </w:r>
          </w:p>
        </w:tc>
        <w:tc>
          <w:tcPr>
            <w:tcW w:w="1220" w:type="dxa"/>
            <w:vAlign w:val="bottom"/>
            <w:gridSpan w:val="2"/>
            <w:shd w:val="clear" w:color="auto" w:fill="CCEEFF"/>
          </w:tcPr>
          <w:p>
            <w:pPr>
              <w:jc w:val="right"/>
              <w:ind w:right="78"/>
              <w:spacing w:after="0" w:line="256" w:lineRule="exact"/>
              <w:rPr>
                <w:sz w:val="20"/>
                <w:szCs w:val="20"/>
                <w:color w:val="auto"/>
              </w:rPr>
            </w:pPr>
            <w:r>
              <w:rPr>
                <w:rFonts w:ascii="Times New Roman" w:cs="Times New Roman" w:eastAsia="Times New Roman" w:hAnsi="Times New Roman"/>
                <w:sz w:val="16"/>
                <w:szCs w:val="16"/>
                <w:b w:val="1"/>
                <w:bCs w:val="1"/>
                <w:color w:val="auto"/>
              </w:rPr>
              <w:t>(19,202</w:t>
            </w:r>
            <w:r>
              <w:rPr>
                <w:rFonts w:ascii="Times New Roman" w:cs="Times New Roman" w:eastAsia="Times New Roman" w:hAnsi="Times New Roman"/>
                <w:sz w:val="29"/>
                <w:szCs w:val="29"/>
                <w:b w:val="1"/>
                <w:bCs w:val="1"/>
                <w:color w:val="auto"/>
                <w:vertAlign w:val="superscript"/>
              </w:rPr>
              <w:t>)</w:t>
            </w:r>
          </w:p>
        </w:tc>
        <w:tc>
          <w:tcPr>
            <w:tcW w:w="12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b w:val="1"/>
                <w:bCs w:val="1"/>
                <w:color w:val="auto"/>
              </w:rPr>
              <w:t>15,053</w:t>
            </w: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2,085</w:t>
            </w:r>
          </w:p>
        </w:tc>
        <w:tc>
          <w:tcPr>
            <w:tcW w:w="1000" w:type="dxa"/>
            <w:vAlign w:val="bottom"/>
            <w:gridSpan w:val="2"/>
            <w:shd w:val="clear" w:color="auto" w:fill="CCEEFF"/>
          </w:tcPr>
          <w:p>
            <w:pPr>
              <w:jc w:val="right"/>
              <w:spacing w:after="0" w:line="256" w:lineRule="exact"/>
              <w:rPr>
                <w:sz w:val="20"/>
                <w:szCs w:val="20"/>
                <w:color w:val="auto"/>
              </w:rPr>
            </w:pPr>
            <w:r>
              <w:rPr>
                <w:rFonts w:ascii="Times New Roman" w:cs="Times New Roman" w:eastAsia="Times New Roman" w:hAnsi="Times New Roman"/>
                <w:sz w:val="16"/>
                <w:szCs w:val="16"/>
                <w:b w:val="1"/>
                <w:bCs w:val="1"/>
                <w:color w:val="auto"/>
              </w:rPr>
              <w:t>(156,544</w:t>
            </w:r>
            <w:r>
              <w:rPr>
                <w:rFonts w:ascii="Times New Roman" w:cs="Times New Roman" w:eastAsia="Times New Roman" w:hAnsi="Times New Roman"/>
                <w:sz w:val="29"/>
                <w:szCs w:val="29"/>
                <w:b w:val="1"/>
                <w:bCs w:val="1"/>
                <w:color w:val="auto"/>
                <w:vertAlign w:val="superscript"/>
              </w:rPr>
              <w:t>)</w:t>
            </w:r>
          </w:p>
        </w:tc>
        <w:tc>
          <w:tcPr>
            <w:tcW w:w="1360" w:type="dxa"/>
            <w:vAlign w:val="bottom"/>
            <w:gridSpan w:val="3"/>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183,966</w:t>
            </w:r>
          </w:p>
        </w:tc>
        <w:tc>
          <w:tcPr>
            <w:tcW w:w="11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25,479</w:t>
            </w: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216"/>
        </w:trPr>
        <w:tc>
          <w:tcPr>
            <w:tcW w:w="40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(loss)/Income</w:t>
            </w:r>
          </w:p>
        </w:tc>
        <w:tc>
          <w:tcPr>
            <w:tcW w:w="1220" w:type="dxa"/>
            <w:vAlign w:val="bottom"/>
            <w:gridSpan w:val="2"/>
            <w:shd w:val="clear" w:color="auto" w:fill="CCEEFF"/>
          </w:tcPr>
          <w:p>
            <w:pPr>
              <w:jc w:val="right"/>
              <w:ind w:right="78"/>
              <w:spacing w:after="0"/>
              <w:rPr>
                <w:sz w:val="20"/>
                <w:szCs w:val="20"/>
                <w:color w:val="auto"/>
              </w:rPr>
            </w:pPr>
            <w:r>
              <w:rPr>
                <w:rFonts w:ascii="Times New Roman" w:cs="Times New Roman" w:eastAsia="Times New Roman" w:hAnsi="Times New Roman"/>
                <w:sz w:val="18"/>
                <w:szCs w:val="18"/>
                <w:b w:val="1"/>
                <w:bCs w:val="1"/>
                <w:color w:val="auto"/>
              </w:rPr>
              <w:t>(22,663)</w:t>
            </w:r>
          </w:p>
        </w:tc>
        <w:tc>
          <w:tcPr>
            <w:tcW w:w="12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b w:val="1"/>
                <w:bCs w:val="1"/>
                <w:color w:val="auto"/>
              </w:rPr>
              <w:t>14,630</w:t>
            </w: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(161,342)</w:t>
            </w:r>
          </w:p>
        </w:tc>
        <w:tc>
          <w:tcPr>
            <w:tcW w:w="1360" w:type="dxa"/>
            <w:vAlign w:val="bottom"/>
            <w:gridSpan w:val="3"/>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188,920</w:t>
            </w:r>
          </w:p>
        </w:tc>
        <w:tc>
          <w:tcPr>
            <w:tcW w:w="11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26,165</w:t>
            </w:r>
          </w:p>
        </w:tc>
      </w:tr>
      <w:tr>
        <w:trPr>
          <w:trHeight w:val="236"/>
        </w:trPr>
        <w:tc>
          <w:tcPr>
            <w:tcW w:w="4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Accretion of the Company’s preferred shares</w:t>
            </w:r>
          </w:p>
        </w:tc>
        <w:tc>
          <w:tcPr>
            <w:tcW w:w="1220" w:type="dxa"/>
            <w:vAlign w:val="bottom"/>
            <w:gridSpan w:val="2"/>
          </w:tcPr>
          <w:p>
            <w:pPr>
              <w:jc w:val="right"/>
              <w:ind w:right="78"/>
              <w:spacing w:after="0"/>
              <w:rPr>
                <w:sz w:val="20"/>
                <w:szCs w:val="20"/>
                <w:color w:val="auto"/>
              </w:rPr>
            </w:pPr>
            <w:r>
              <w:rPr>
                <w:rFonts w:ascii="Times New Roman" w:cs="Times New Roman" w:eastAsia="Times New Roman" w:hAnsi="Times New Roman"/>
                <w:sz w:val="18"/>
                <w:szCs w:val="18"/>
                <w:color w:val="auto"/>
              </w:rPr>
              <w:t>(2,867)</w:t>
            </w:r>
          </w:p>
        </w:tc>
        <w:tc>
          <w:tcPr>
            <w:tcW w:w="12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(22,379)</w:t>
            </w:r>
          </w:p>
        </w:tc>
        <w:tc>
          <w:tcPr>
            <w:tcW w:w="1360" w:type="dxa"/>
            <w:vAlign w:val="bottom"/>
            <w:gridSpan w:val="3"/>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180"/>
        </w:trPr>
        <w:tc>
          <w:tcPr>
            <w:tcW w:w="4080" w:type="dxa"/>
            <w:vAlign w:val="bottom"/>
            <w:tcBorders>
              <w:top w:val="single" w:sz="8" w:color="CCEEFF"/>
            </w:tcBorders>
            <w:shd w:val="clear" w:color="auto" w:fill="CCEEFF"/>
          </w:tcPr>
          <w:p>
            <w:pPr>
              <w:spacing w:after="0" w:line="180" w:lineRule="exact"/>
              <w:rPr>
                <w:sz w:val="20"/>
                <w:szCs w:val="20"/>
                <w:color w:val="auto"/>
              </w:rPr>
            </w:pPr>
            <w:r>
              <w:rPr>
                <w:rFonts w:ascii="Times New Roman" w:cs="Times New Roman" w:eastAsia="Times New Roman" w:hAnsi="Times New Roman"/>
                <w:sz w:val="18"/>
                <w:szCs w:val="18"/>
                <w:b w:val="1"/>
                <w:bCs w:val="1"/>
                <w:color w:val="auto"/>
              </w:rPr>
              <w:t>Net (loss)/income attributable to ordinary</w:t>
            </w:r>
          </w:p>
        </w:tc>
        <w:tc>
          <w:tcPr>
            <w:tcW w:w="10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286"/>
        </w:trPr>
        <w:tc>
          <w:tcPr>
            <w:tcW w:w="40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shareholders of QuantaSing Group Limited</w:t>
            </w:r>
          </w:p>
        </w:tc>
        <w:tc>
          <w:tcPr>
            <w:tcW w:w="1220" w:type="dxa"/>
            <w:vAlign w:val="bottom"/>
            <w:gridSpan w:val="2"/>
            <w:shd w:val="clear" w:color="auto" w:fill="CCEEFF"/>
          </w:tcPr>
          <w:p>
            <w:pPr>
              <w:jc w:val="right"/>
              <w:ind w:right="78"/>
              <w:spacing w:after="0"/>
              <w:rPr>
                <w:sz w:val="20"/>
                <w:szCs w:val="20"/>
                <w:color w:val="auto"/>
              </w:rPr>
            </w:pPr>
            <w:r>
              <w:rPr>
                <w:rFonts w:ascii="Times New Roman" w:cs="Times New Roman" w:eastAsia="Times New Roman" w:hAnsi="Times New Roman"/>
                <w:sz w:val="18"/>
                <w:szCs w:val="18"/>
                <w:b w:val="1"/>
                <w:bCs w:val="1"/>
                <w:color w:val="auto"/>
              </w:rPr>
              <w:t>(25,530)</w:t>
            </w:r>
          </w:p>
        </w:tc>
        <w:tc>
          <w:tcPr>
            <w:tcW w:w="12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b w:val="1"/>
                <w:bCs w:val="1"/>
                <w:color w:val="auto"/>
              </w:rPr>
              <w:t>14,630</w:t>
            </w: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(183,721)</w:t>
            </w:r>
          </w:p>
        </w:tc>
        <w:tc>
          <w:tcPr>
            <w:tcW w:w="1360" w:type="dxa"/>
            <w:vAlign w:val="bottom"/>
            <w:gridSpan w:val="3"/>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188,920</w:t>
            </w:r>
          </w:p>
        </w:tc>
        <w:tc>
          <w:tcPr>
            <w:tcW w:w="11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26,165</w:t>
            </w: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216"/>
        </w:trPr>
        <w:tc>
          <w:tcPr>
            <w:tcW w:w="40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(loss)/income per ordinary share</w:t>
            </w: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Basic</w:t>
            </w:r>
          </w:p>
        </w:tc>
        <w:tc>
          <w:tcPr>
            <w:tcW w:w="1220" w:type="dxa"/>
            <w:vAlign w:val="bottom"/>
            <w:gridSpan w:val="2"/>
          </w:tcPr>
          <w:p>
            <w:pPr>
              <w:jc w:val="right"/>
              <w:ind w:right="78"/>
              <w:spacing w:after="0"/>
              <w:rPr>
                <w:sz w:val="20"/>
                <w:szCs w:val="20"/>
                <w:color w:val="auto"/>
              </w:rPr>
            </w:pPr>
            <w:r>
              <w:rPr>
                <w:rFonts w:ascii="Times New Roman" w:cs="Times New Roman" w:eastAsia="Times New Roman" w:hAnsi="Times New Roman"/>
                <w:sz w:val="18"/>
                <w:szCs w:val="18"/>
                <w:color w:val="auto"/>
              </w:rPr>
              <w:t>(0.19)</w:t>
            </w:r>
          </w:p>
        </w:tc>
        <w:tc>
          <w:tcPr>
            <w:tcW w:w="12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0.09</w:t>
            </w: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0.01</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360" w:type="dxa"/>
            <w:vAlign w:val="bottom"/>
            <w:gridSpan w:val="3"/>
          </w:tcPr>
          <w:p>
            <w:pPr>
              <w:jc w:val="right"/>
              <w:ind w:right="141"/>
              <w:spacing w:after="0"/>
              <w:rPr>
                <w:sz w:val="20"/>
                <w:szCs w:val="20"/>
                <w:color w:val="auto"/>
              </w:rPr>
            </w:pPr>
            <w:r>
              <w:rPr>
                <w:rFonts w:ascii="Times New Roman" w:cs="Times New Roman" w:eastAsia="Times New Roman" w:hAnsi="Times New Roman"/>
                <w:sz w:val="18"/>
                <w:szCs w:val="18"/>
                <w:color w:val="auto"/>
              </w:rPr>
              <w:t>1.14</w:t>
            </w:r>
          </w:p>
        </w:tc>
        <w:tc>
          <w:tcPr>
            <w:tcW w:w="11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0.16</w:t>
            </w:r>
          </w:p>
        </w:tc>
      </w:tr>
      <w:tr>
        <w:trPr>
          <w:trHeight w:val="216"/>
        </w:trPr>
        <w:tc>
          <w:tcPr>
            <w:tcW w:w="40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 Diluted</w:t>
            </w:r>
          </w:p>
        </w:tc>
        <w:tc>
          <w:tcPr>
            <w:tcW w:w="1220" w:type="dxa"/>
            <w:vAlign w:val="bottom"/>
            <w:gridSpan w:val="2"/>
            <w:shd w:val="clear" w:color="auto" w:fill="CCEEFF"/>
          </w:tcPr>
          <w:p>
            <w:pPr>
              <w:jc w:val="right"/>
              <w:ind w:right="78"/>
              <w:spacing w:after="0"/>
              <w:rPr>
                <w:sz w:val="20"/>
                <w:szCs w:val="20"/>
                <w:color w:val="auto"/>
              </w:rPr>
            </w:pPr>
            <w:r>
              <w:rPr>
                <w:rFonts w:ascii="Times New Roman" w:cs="Times New Roman" w:eastAsia="Times New Roman" w:hAnsi="Times New Roman"/>
                <w:sz w:val="18"/>
                <w:szCs w:val="18"/>
                <w:color w:val="auto"/>
              </w:rPr>
              <w:t>(0.19)</w:t>
            </w:r>
          </w:p>
        </w:tc>
        <w:tc>
          <w:tcPr>
            <w:tcW w:w="12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0.09</w:t>
            </w: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0.01</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360" w:type="dxa"/>
            <w:vAlign w:val="bottom"/>
            <w:gridSpan w:val="3"/>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1.10</w:t>
            </w:r>
          </w:p>
        </w:tc>
        <w:tc>
          <w:tcPr>
            <w:tcW w:w="11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0.15</w:t>
            </w:r>
          </w:p>
        </w:tc>
      </w:tr>
      <w:tr>
        <w:trPr>
          <w:trHeight w:val="194"/>
        </w:trPr>
        <w:tc>
          <w:tcPr>
            <w:tcW w:w="408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Weighted average number of ordinary shares used</w:t>
            </w: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8"/>
        </w:trPr>
        <w:tc>
          <w:tcPr>
            <w:tcW w:w="408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in computing net (loss)/income per ordinary share</w:t>
            </w: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40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 Basic</w:t>
            </w:r>
          </w:p>
        </w:tc>
        <w:tc>
          <w:tcPr>
            <w:tcW w:w="122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8"/>
                <w:szCs w:val="18"/>
                <w:color w:val="auto"/>
              </w:rPr>
              <w:t>135,768,739</w:t>
            </w:r>
          </w:p>
        </w:tc>
        <w:tc>
          <w:tcPr>
            <w:tcW w:w="12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164,753,256</w:t>
            </w: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164,753,256</w:t>
            </w:r>
          </w:p>
        </w:tc>
        <w:tc>
          <w:tcPr>
            <w:tcW w:w="100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82,295,042</w:t>
            </w:r>
          </w:p>
        </w:tc>
        <w:tc>
          <w:tcPr>
            <w:tcW w:w="1360" w:type="dxa"/>
            <w:vAlign w:val="bottom"/>
            <w:gridSpan w:val="3"/>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166,399,349</w:t>
            </w:r>
          </w:p>
        </w:tc>
        <w:tc>
          <w:tcPr>
            <w:tcW w:w="11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166,399,349</w:t>
            </w:r>
          </w:p>
        </w:tc>
      </w:tr>
      <w:tr>
        <w:trPr>
          <w:trHeight w:val="216"/>
        </w:trPr>
        <w:tc>
          <w:tcPr>
            <w:tcW w:w="4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Diluted</w:t>
            </w:r>
          </w:p>
        </w:tc>
        <w:tc>
          <w:tcPr>
            <w:tcW w:w="1220" w:type="dxa"/>
            <w:vAlign w:val="bottom"/>
            <w:gridSpan w:val="2"/>
          </w:tcPr>
          <w:p>
            <w:pPr>
              <w:jc w:val="right"/>
              <w:ind w:right="138"/>
              <w:spacing w:after="0"/>
              <w:rPr>
                <w:sz w:val="20"/>
                <w:szCs w:val="20"/>
                <w:color w:val="auto"/>
              </w:rPr>
            </w:pPr>
            <w:r>
              <w:rPr>
                <w:rFonts w:ascii="Times New Roman" w:cs="Times New Roman" w:eastAsia="Times New Roman" w:hAnsi="Times New Roman"/>
                <w:sz w:val="18"/>
                <w:szCs w:val="18"/>
                <w:color w:val="auto"/>
              </w:rPr>
              <w:t>135,768,739</w:t>
            </w:r>
          </w:p>
        </w:tc>
        <w:tc>
          <w:tcPr>
            <w:tcW w:w="12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170,890,581</w:t>
            </w: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170,890,581</w:t>
            </w:r>
          </w:p>
        </w:tc>
        <w:tc>
          <w:tcPr>
            <w:tcW w:w="100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82,295,042</w:t>
            </w:r>
          </w:p>
        </w:tc>
        <w:tc>
          <w:tcPr>
            <w:tcW w:w="1360" w:type="dxa"/>
            <w:vAlign w:val="bottom"/>
            <w:gridSpan w:val="3"/>
          </w:tcPr>
          <w:p>
            <w:pPr>
              <w:jc w:val="right"/>
              <w:ind w:right="141"/>
              <w:spacing w:after="0"/>
              <w:rPr>
                <w:sz w:val="20"/>
                <w:szCs w:val="20"/>
                <w:color w:val="auto"/>
              </w:rPr>
            </w:pPr>
            <w:r>
              <w:rPr>
                <w:rFonts w:ascii="Times New Roman" w:cs="Times New Roman" w:eastAsia="Times New Roman" w:hAnsi="Times New Roman"/>
                <w:sz w:val="18"/>
                <w:szCs w:val="18"/>
                <w:color w:val="auto"/>
              </w:rPr>
              <w:t>171,089,530</w:t>
            </w:r>
          </w:p>
        </w:tc>
        <w:tc>
          <w:tcPr>
            <w:tcW w:w="11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171,089,530</w:t>
            </w:r>
          </w:p>
        </w:tc>
      </w:tr>
      <w:tr>
        <w:trPr>
          <w:trHeight w:val="216"/>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Share-based compensation expenses included in</w:t>
            </w: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Cost of revenues</w:t>
            </w:r>
          </w:p>
        </w:tc>
        <w:tc>
          <w:tcPr>
            <w:tcW w:w="1220" w:type="dxa"/>
            <w:vAlign w:val="bottom"/>
            <w:gridSpan w:val="2"/>
          </w:tcPr>
          <w:p>
            <w:pPr>
              <w:jc w:val="right"/>
              <w:ind w:right="78"/>
              <w:spacing w:after="0"/>
              <w:rPr>
                <w:sz w:val="20"/>
                <w:szCs w:val="20"/>
                <w:color w:val="auto"/>
              </w:rPr>
            </w:pPr>
            <w:r>
              <w:rPr>
                <w:rFonts w:ascii="Times New Roman" w:cs="Times New Roman" w:eastAsia="Times New Roman" w:hAnsi="Times New Roman"/>
                <w:sz w:val="18"/>
                <w:szCs w:val="18"/>
                <w:color w:val="auto"/>
              </w:rPr>
              <w:t>(7,560)</w:t>
            </w:r>
          </w:p>
        </w:tc>
        <w:tc>
          <w:tcPr>
            <w:tcW w:w="12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(2,878)</w:t>
            </w:r>
          </w:p>
        </w:tc>
        <w:tc>
          <w:tcPr>
            <w:tcW w:w="12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(399)</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(19,523)</w:t>
            </w:r>
          </w:p>
        </w:tc>
        <w:tc>
          <w:tcPr>
            <w:tcW w:w="1360" w:type="dxa"/>
            <w:vAlign w:val="bottom"/>
            <w:gridSpan w:val="3"/>
          </w:tcPr>
          <w:p>
            <w:pPr>
              <w:jc w:val="right"/>
              <w:ind w:right="81"/>
              <w:spacing w:after="0"/>
              <w:rPr>
                <w:sz w:val="20"/>
                <w:szCs w:val="20"/>
                <w:color w:val="auto"/>
              </w:rPr>
            </w:pPr>
            <w:r>
              <w:rPr>
                <w:rFonts w:ascii="Times New Roman" w:cs="Times New Roman" w:eastAsia="Times New Roman" w:hAnsi="Times New Roman"/>
                <w:sz w:val="18"/>
                <w:szCs w:val="18"/>
                <w:color w:val="auto"/>
              </w:rPr>
              <w:t>(9,945)</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(1,377)</w:t>
            </w:r>
          </w:p>
        </w:tc>
      </w:tr>
      <w:tr>
        <w:trPr>
          <w:trHeight w:val="216"/>
        </w:trPr>
        <w:tc>
          <w:tcPr>
            <w:tcW w:w="40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1220" w:type="dxa"/>
            <w:vAlign w:val="bottom"/>
            <w:gridSpan w:val="2"/>
            <w:shd w:val="clear" w:color="auto" w:fill="CCEEFF"/>
          </w:tcPr>
          <w:p>
            <w:pPr>
              <w:jc w:val="right"/>
              <w:ind w:right="78"/>
              <w:spacing w:after="0"/>
              <w:rPr>
                <w:sz w:val="20"/>
                <w:szCs w:val="20"/>
                <w:color w:val="auto"/>
              </w:rPr>
            </w:pPr>
            <w:r>
              <w:rPr>
                <w:rFonts w:ascii="Times New Roman" w:cs="Times New Roman" w:eastAsia="Times New Roman" w:hAnsi="Times New Roman"/>
                <w:sz w:val="18"/>
                <w:szCs w:val="18"/>
                <w:color w:val="auto"/>
              </w:rPr>
              <w:t>(12,318)</w:t>
            </w:r>
          </w:p>
        </w:tc>
        <w:tc>
          <w:tcPr>
            <w:tcW w:w="12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(2,779)</w:t>
            </w:r>
          </w:p>
        </w:tc>
        <w:tc>
          <w:tcPr>
            <w:tcW w:w="12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(385)</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(39,934)</w:t>
            </w:r>
          </w:p>
        </w:tc>
        <w:tc>
          <w:tcPr>
            <w:tcW w:w="1360" w:type="dxa"/>
            <w:vAlign w:val="bottom"/>
            <w:gridSpan w:val="3"/>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8,678</w:t>
            </w:r>
          </w:p>
        </w:tc>
        <w:tc>
          <w:tcPr>
            <w:tcW w:w="11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1,202</w:t>
            </w:r>
          </w:p>
        </w:tc>
      </w:tr>
      <w:tr>
        <w:trPr>
          <w:trHeight w:val="216"/>
        </w:trPr>
        <w:tc>
          <w:tcPr>
            <w:tcW w:w="4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220" w:type="dxa"/>
            <w:vAlign w:val="bottom"/>
            <w:gridSpan w:val="2"/>
          </w:tcPr>
          <w:p>
            <w:pPr>
              <w:jc w:val="right"/>
              <w:ind w:right="78"/>
              <w:spacing w:after="0"/>
              <w:rPr>
                <w:sz w:val="20"/>
                <w:szCs w:val="20"/>
                <w:color w:val="auto"/>
              </w:rPr>
            </w:pPr>
            <w:r>
              <w:rPr>
                <w:rFonts w:ascii="Times New Roman" w:cs="Times New Roman" w:eastAsia="Times New Roman" w:hAnsi="Times New Roman"/>
                <w:sz w:val="18"/>
                <w:szCs w:val="18"/>
                <w:color w:val="auto"/>
              </w:rPr>
              <w:t>(8,762)</w:t>
            </w:r>
          </w:p>
        </w:tc>
        <w:tc>
          <w:tcPr>
            <w:tcW w:w="12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(3,599)</w:t>
            </w:r>
          </w:p>
        </w:tc>
        <w:tc>
          <w:tcPr>
            <w:tcW w:w="12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(498)</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(41,269)</w:t>
            </w:r>
          </w:p>
        </w:tc>
        <w:tc>
          <w:tcPr>
            <w:tcW w:w="1360" w:type="dxa"/>
            <w:vAlign w:val="bottom"/>
            <w:gridSpan w:val="3"/>
          </w:tcPr>
          <w:p>
            <w:pPr>
              <w:jc w:val="right"/>
              <w:ind w:right="81"/>
              <w:spacing w:after="0"/>
              <w:rPr>
                <w:sz w:val="20"/>
                <w:szCs w:val="20"/>
                <w:color w:val="auto"/>
              </w:rPr>
            </w:pPr>
            <w:r>
              <w:rPr>
                <w:rFonts w:ascii="Times New Roman" w:cs="Times New Roman" w:eastAsia="Times New Roman" w:hAnsi="Times New Roman"/>
                <w:sz w:val="18"/>
                <w:szCs w:val="18"/>
                <w:color w:val="auto"/>
              </w:rPr>
              <w:t>(10,611)</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(1,470)</w:t>
            </w:r>
          </w:p>
        </w:tc>
      </w:tr>
      <w:tr>
        <w:trPr>
          <w:trHeight w:val="216"/>
        </w:trPr>
        <w:tc>
          <w:tcPr>
            <w:tcW w:w="40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220" w:type="dxa"/>
            <w:vAlign w:val="bottom"/>
            <w:gridSpan w:val="2"/>
            <w:shd w:val="clear" w:color="auto" w:fill="CCEEFF"/>
          </w:tcPr>
          <w:p>
            <w:pPr>
              <w:jc w:val="right"/>
              <w:ind w:right="78"/>
              <w:spacing w:after="0"/>
              <w:rPr>
                <w:sz w:val="20"/>
                <w:szCs w:val="20"/>
                <w:color w:val="auto"/>
              </w:rPr>
            </w:pPr>
            <w:r>
              <w:rPr>
                <w:rFonts w:ascii="Times New Roman" w:cs="Times New Roman" w:eastAsia="Times New Roman" w:hAnsi="Times New Roman"/>
                <w:sz w:val="18"/>
                <w:szCs w:val="18"/>
                <w:color w:val="auto"/>
              </w:rPr>
              <w:t>(15,719)</w:t>
            </w:r>
          </w:p>
        </w:tc>
        <w:tc>
          <w:tcPr>
            <w:tcW w:w="12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(8,039)</w:t>
            </w:r>
          </w:p>
        </w:tc>
        <w:tc>
          <w:tcPr>
            <w:tcW w:w="12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(1,113)</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(53,167)</w:t>
            </w:r>
          </w:p>
        </w:tc>
        <w:tc>
          <w:tcPr>
            <w:tcW w:w="1360" w:type="dxa"/>
            <w:vAlign w:val="bottom"/>
            <w:gridSpan w:val="3"/>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(28,961)</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(4,011)</w:t>
            </w:r>
          </w:p>
        </w:tc>
      </w:tr>
      <w:tr>
        <w:trPr>
          <w:trHeight w:val="655"/>
        </w:trPr>
        <w:tc>
          <w:tcPr>
            <w:tcW w:w="40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8 / 10</w:t>
            </w:r>
          </w:p>
        </w:tc>
        <w:tc>
          <w:tcPr>
            <w:tcW w:w="2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QUANTASING GROUP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RECONCILIATION OF GAAP AND NON-GAAP RESULTS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for shares and per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The following table below sets forth a reconciliation of revenues to gross billings for the periods indicated:</w:t>
            </w: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0"/>
        </w:trPr>
        <w:tc>
          <w:tcPr>
            <w:tcW w:w="4620" w:type="dxa"/>
            <w:vAlign w:val="bottom"/>
          </w:tcPr>
          <w:p>
            <w:pPr>
              <w:spacing w:after="0"/>
              <w:rPr>
                <w:sz w:val="24"/>
                <w:szCs w:val="24"/>
                <w:color w:val="auto"/>
              </w:rPr>
            </w:pPr>
          </w:p>
        </w:tc>
        <w:tc>
          <w:tcPr>
            <w:tcW w:w="2500" w:type="dxa"/>
            <w:vAlign w:val="bottom"/>
            <w:gridSpan w:val="5"/>
          </w:tcPr>
          <w:p>
            <w:pPr>
              <w:jc w:val="center"/>
              <w:ind w:left="590"/>
              <w:spacing w:after="0"/>
              <w:rPr>
                <w:sz w:val="20"/>
                <w:szCs w:val="20"/>
                <w:color w:val="auto"/>
              </w:rPr>
            </w:pPr>
            <w:r>
              <w:rPr>
                <w:rFonts w:ascii="Times New Roman" w:cs="Times New Roman" w:eastAsia="Times New Roman" w:hAnsi="Times New Roman"/>
                <w:sz w:val="18"/>
                <w:szCs w:val="18"/>
                <w:b w:val="1"/>
                <w:bCs w:val="1"/>
                <w:color w:val="auto"/>
                <w:w w:val="99"/>
              </w:rPr>
              <w:t>For the Three Months</w:t>
            </w: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20" w:type="dxa"/>
            <w:vAlign w:val="bottom"/>
            <w:gridSpan w:val="5"/>
          </w:tcPr>
          <w:p>
            <w:pPr>
              <w:jc w:val="center"/>
              <w:ind w:left="610"/>
              <w:spacing w:after="0"/>
              <w:rPr>
                <w:sz w:val="20"/>
                <w:szCs w:val="20"/>
                <w:color w:val="auto"/>
              </w:rPr>
            </w:pPr>
            <w:r>
              <w:rPr>
                <w:rFonts w:ascii="Times New Roman" w:cs="Times New Roman" w:eastAsia="Times New Roman" w:hAnsi="Times New Roman"/>
                <w:sz w:val="18"/>
                <w:szCs w:val="18"/>
                <w:b w:val="1"/>
                <w:bCs w:val="1"/>
                <w:color w:val="auto"/>
                <w:w w:val="99"/>
              </w:rPr>
              <w:t>For the Nine Months</w:t>
            </w: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45"/>
        </w:trPr>
        <w:tc>
          <w:tcPr>
            <w:tcW w:w="4620" w:type="dxa"/>
            <w:vAlign w:val="bottom"/>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gridSpan w:val="4"/>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Ended March 31,</w:t>
            </w:r>
          </w:p>
        </w:tc>
        <w:tc>
          <w:tcPr>
            <w:tcW w:w="700" w:type="dxa"/>
            <w:vAlign w:val="bottom"/>
            <w:tcBorders>
              <w:bottom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2420" w:type="dxa"/>
            <w:vAlign w:val="bottom"/>
            <w:tcBorders>
              <w:bottom w:val="single" w:sz="8" w:color="auto"/>
            </w:tcBorders>
            <w:gridSpan w:val="5"/>
          </w:tcPr>
          <w:p>
            <w:pPr>
              <w:jc w:val="center"/>
              <w:ind w:left="610"/>
              <w:spacing w:after="0"/>
              <w:rPr>
                <w:sz w:val="20"/>
                <w:szCs w:val="20"/>
                <w:color w:val="auto"/>
              </w:rPr>
            </w:pPr>
            <w:r>
              <w:rPr>
                <w:rFonts w:ascii="Times New Roman" w:cs="Times New Roman" w:eastAsia="Times New Roman" w:hAnsi="Times New Roman"/>
                <w:sz w:val="18"/>
                <w:szCs w:val="18"/>
                <w:b w:val="1"/>
                <w:bCs w:val="1"/>
                <w:color w:val="auto"/>
                <w:w w:val="98"/>
              </w:rPr>
              <w:t>Ended March 31,</w:t>
            </w:r>
          </w:p>
        </w:tc>
        <w:tc>
          <w:tcPr>
            <w:tcW w:w="70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37"/>
        </w:trPr>
        <w:tc>
          <w:tcPr>
            <w:tcW w:w="4620" w:type="dxa"/>
            <w:vAlign w:val="bottom"/>
          </w:tcPr>
          <w:p>
            <w:pPr>
              <w:spacing w:after="0"/>
              <w:rPr>
                <w:sz w:val="20"/>
                <w:szCs w:val="20"/>
                <w:color w:val="auto"/>
              </w:rPr>
            </w:pPr>
          </w:p>
        </w:tc>
        <w:tc>
          <w:tcPr>
            <w:tcW w:w="9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40" w:type="dxa"/>
            <w:vAlign w:val="bottom"/>
          </w:tcPr>
          <w:p>
            <w:pPr>
              <w:spacing w:after="0"/>
              <w:rPr>
                <w:sz w:val="20"/>
                <w:szCs w:val="20"/>
                <w:color w:val="auto"/>
              </w:rPr>
            </w:pPr>
          </w:p>
        </w:tc>
        <w:tc>
          <w:tcPr>
            <w:tcW w:w="9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Pr>
          <w:p>
            <w:pPr>
              <w:spacing w:after="0"/>
              <w:rPr>
                <w:sz w:val="20"/>
                <w:szCs w:val="20"/>
                <w:color w:val="auto"/>
              </w:rPr>
            </w:pPr>
          </w:p>
        </w:tc>
        <w:tc>
          <w:tcPr>
            <w:tcW w:w="9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0"/>
                <w:szCs w:val="20"/>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38"/>
        </w:trPr>
        <w:tc>
          <w:tcPr>
            <w:tcW w:w="4620" w:type="dxa"/>
            <w:vAlign w:val="bottom"/>
          </w:tcPr>
          <w:p>
            <w:pPr>
              <w:spacing w:after="0"/>
              <w:rPr>
                <w:sz w:val="20"/>
                <w:szCs w:val="20"/>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240" w:type="dxa"/>
            <w:vAlign w:val="bottom"/>
          </w:tcPr>
          <w:p>
            <w:pPr>
              <w:spacing w:after="0"/>
              <w:rPr>
                <w:sz w:val="20"/>
                <w:szCs w:val="20"/>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US$</w:t>
            </w:r>
          </w:p>
        </w:tc>
        <w:tc>
          <w:tcPr>
            <w:tcW w:w="200" w:type="dxa"/>
            <w:vAlign w:val="bottom"/>
          </w:tcPr>
          <w:p>
            <w:pPr>
              <w:spacing w:after="0"/>
              <w:rPr>
                <w:sz w:val="20"/>
                <w:szCs w:val="20"/>
                <w:color w:val="auto"/>
              </w:rPr>
            </w:pPr>
          </w:p>
        </w:tc>
        <w:tc>
          <w:tcPr>
            <w:tcW w:w="90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RMB</w:t>
            </w:r>
          </w:p>
        </w:tc>
        <w:tc>
          <w:tcPr>
            <w:tcW w:w="220" w:type="dxa"/>
            <w:vAlign w:val="bottom"/>
          </w:tcPr>
          <w:p>
            <w:pPr>
              <w:spacing w:after="0"/>
              <w:rPr>
                <w:sz w:val="20"/>
                <w:szCs w:val="20"/>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US$</w:t>
            </w:r>
          </w:p>
        </w:tc>
        <w:tc>
          <w:tcPr>
            <w:tcW w:w="100" w:type="dxa"/>
            <w:vAlign w:val="bottom"/>
            <w:gridSpan w:val="2"/>
          </w:tcPr>
          <w:p>
            <w:pPr>
              <w:spacing w:after="0"/>
              <w:rPr>
                <w:sz w:val="20"/>
                <w:szCs w:val="20"/>
                <w:color w:val="auto"/>
              </w:rPr>
            </w:pPr>
          </w:p>
        </w:tc>
      </w:tr>
      <w:tr>
        <w:trPr>
          <w:trHeight w:val="194"/>
        </w:trPr>
        <w:tc>
          <w:tcPr>
            <w:tcW w:w="46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 of individual online learning services:</w:t>
            </w:r>
          </w:p>
        </w:tc>
        <w:tc>
          <w:tcPr>
            <w:tcW w:w="116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724,716</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828,127</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114,694</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2,013,784</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2,457,588</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340,372</w:t>
            </w:r>
          </w:p>
        </w:tc>
        <w:tc>
          <w:tcPr>
            <w:tcW w:w="80" w:type="dxa"/>
            <w:vAlign w:val="bottom"/>
            <w:shd w:val="clear" w:color="auto" w:fill="CCEEFF"/>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Add: value-added tax</w:t>
            </w:r>
          </w:p>
        </w:tc>
        <w:tc>
          <w:tcPr>
            <w:tcW w:w="11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46,213</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52,986</w:t>
            </w:r>
          </w:p>
        </w:tc>
        <w:tc>
          <w:tcPr>
            <w:tcW w:w="2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7,338</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127,929</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147,665</w:t>
            </w:r>
          </w:p>
        </w:tc>
        <w:tc>
          <w:tcPr>
            <w:tcW w:w="200" w:type="dxa"/>
            <w:vAlign w:val="bottom"/>
          </w:tcPr>
          <w:p>
            <w:pPr>
              <w:spacing w:after="0"/>
              <w:rPr>
                <w:sz w:val="18"/>
                <w:szCs w:val="18"/>
                <w:color w:val="auto"/>
              </w:rPr>
            </w:pPr>
          </w:p>
        </w:tc>
        <w:tc>
          <w:tcPr>
            <w:tcW w:w="8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20,451</w:t>
            </w:r>
          </w:p>
        </w:tc>
      </w:tr>
      <w:tr>
        <w:trPr>
          <w:trHeight w:val="257"/>
        </w:trPr>
        <w:tc>
          <w:tcPr>
            <w:tcW w:w="462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Add: ending deferred revenues</w:t>
            </w:r>
            <w:r>
              <w:rPr>
                <w:rFonts w:ascii="Times New Roman" w:cs="Times New Roman" w:eastAsia="Times New Roman" w:hAnsi="Times New Roman"/>
                <w:sz w:val="29"/>
                <w:szCs w:val="29"/>
                <w:color w:val="auto"/>
                <w:vertAlign w:val="superscript"/>
              </w:rPr>
              <w:t>(1)</w:t>
            </w:r>
          </w:p>
        </w:tc>
        <w:tc>
          <w:tcPr>
            <w:tcW w:w="116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677,272</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744,320</w:t>
            </w:r>
          </w:p>
        </w:tc>
        <w:tc>
          <w:tcPr>
            <w:tcW w:w="20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103,087</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677,272</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744,320</w:t>
            </w:r>
          </w:p>
        </w:tc>
        <w:tc>
          <w:tcPr>
            <w:tcW w:w="200" w:type="dxa"/>
            <w:vAlign w:val="bottom"/>
            <w:shd w:val="clear" w:color="auto" w:fill="CCEEFF"/>
          </w:tcPr>
          <w:p>
            <w:pPr>
              <w:spacing w:after="0"/>
              <w:rPr>
                <w:sz w:val="22"/>
                <w:szCs w:val="22"/>
                <w:color w:val="auto"/>
              </w:rPr>
            </w:pP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103,087</w:t>
            </w:r>
          </w:p>
        </w:tc>
        <w:tc>
          <w:tcPr>
            <w:tcW w:w="80" w:type="dxa"/>
            <w:vAlign w:val="bottom"/>
            <w:shd w:val="clear" w:color="auto" w:fill="CCEEFF"/>
          </w:tcPr>
          <w:p>
            <w:pPr>
              <w:spacing w:after="0"/>
              <w:rPr>
                <w:sz w:val="22"/>
                <w:szCs w:val="22"/>
                <w:color w:val="auto"/>
              </w:rPr>
            </w:pPr>
          </w:p>
        </w:tc>
      </w:tr>
      <w:tr>
        <w:trPr>
          <w:trHeight w:val="277"/>
        </w:trPr>
        <w:tc>
          <w:tcPr>
            <w:tcW w:w="4620" w:type="dxa"/>
            <w:vAlign w:val="bottom"/>
          </w:tcPr>
          <w:p>
            <w:pPr>
              <w:spacing w:after="0" w:line="270" w:lineRule="exact"/>
              <w:rPr>
                <w:sz w:val="20"/>
                <w:szCs w:val="20"/>
                <w:color w:val="auto"/>
              </w:rPr>
            </w:pPr>
            <w:r>
              <w:rPr>
                <w:rFonts w:ascii="Times New Roman" w:cs="Times New Roman" w:eastAsia="Times New Roman" w:hAnsi="Times New Roman"/>
                <w:sz w:val="18"/>
                <w:szCs w:val="18"/>
                <w:color w:val="auto"/>
              </w:rPr>
              <w:t>Less: beginning deferred revenues</w:t>
            </w:r>
            <w:r>
              <w:rPr>
                <w:rFonts w:ascii="Times New Roman" w:cs="Times New Roman" w:eastAsia="Times New Roman" w:hAnsi="Times New Roman"/>
                <w:sz w:val="29"/>
                <w:szCs w:val="29"/>
                <w:color w:val="auto"/>
                <w:vertAlign w:val="superscript"/>
              </w:rPr>
              <w:t>(1)</w:t>
            </w:r>
          </w:p>
        </w:tc>
        <w:tc>
          <w:tcPr>
            <w:tcW w:w="11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(644,586)</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(643,929)</w:t>
            </w:r>
          </w:p>
        </w:tc>
        <w:tc>
          <w:tcPr>
            <w:tcW w:w="200" w:type="dxa"/>
            <w:vAlign w:val="bottom"/>
          </w:tcPr>
          <w:p>
            <w:pPr>
              <w:spacing w:after="0"/>
              <w:rPr>
                <w:sz w:val="24"/>
                <w:szCs w:val="24"/>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(89,183)</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(531,662)</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(661,360)</w:t>
            </w:r>
          </w:p>
        </w:tc>
        <w:tc>
          <w:tcPr>
            <w:tcW w:w="200" w:type="dxa"/>
            <w:vAlign w:val="bottom"/>
          </w:tcPr>
          <w:p>
            <w:pPr>
              <w:spacing w:after="0"/>
              <w:rPr>
                <w:sz w:val="24"/>
                <w:szCs w:val="24"/>
                <w:color w:val="auto"/>
              </w:rPr>
            </w:pPr>
          </w:p>
        </w:tc>
        <w:tc>
          <w:tcPr>
            <w:tcW w:w="8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(91,597)</w:t>
            </w:r>
          </w:p>
        </w:tc>
      </w:tr>
      <w:tr>
        <w:trPr>
          <w:trHeight w:val="216"/>
        </w:trPr>
        <w:tc>
          <w:tcPr>
            <w:tcW w:w="46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63"/>
        </w:trPr>
        <w:tc>
          <w:tcPr>
            <w:tcW w:w="4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Gross billings of individual online learning services</w:t>
            </w:r>
          </w:p>
        </w:tc>
        <w:tc>
          <w:tcPr>
            <w:tcW w:w="11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803,615</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981,504</w:t>
            </w:r>
          </w:p>
        </w:tc>
        <w:tc>
          <w:tcPr>
            <w:tcW w:w="200" w:type="dxa"/>
            <w:vAlign w:val="bottom"/>
          </w:tcPr>
          <w:p>
            <w:pPr>
              <w:spacing w:after="0"/>
              <w:rPr>
                <w:sz w:val="22"/>
                <w:szCs w:val="22"/>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135,936</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2,287,323</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2,688,213</w:t>
            </w:r>
          </w:p>
        </w:tc>
        <w:tc>
          <w:tcPr>
            <w:tcW w:w="200" w:type="dxa"/>
            <w:vAlign w:val="bottom"/>
          </w:tcPr>
          <w:p>
            <w:pPr>
              <w:spacing w:after="0"/>
              <w:rPr>
                <w:sz w:val="22"/>
                <w:szCs w:val="22"/>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372,313</w:t>
            </w:r>
          </w:p>
        </w:tc>
        <w:tc>
          <w:tcPr>
            <w:tcW w:w="80" w:type="dxa"/>
            <w:vAlign w:val="bottom"/>
          </w:tcPr>
          <w:p>
            <w:pPr>
              <w:spacing w:after="0"/>
              <w:rPr>
                <w:sz w:val="22"/>
                <w:szCs w:val="22"/>
                <w:color w:val="auto"/>
              </w:rPr>
            </w:pPr>
          </w:p>
        </w:tc>
      </w:tr>
      <w:tr>
        <w:trPr>
          <w:trHeight w:val="20"/>
        </w:trPr>
        <w:tc>
          <w:tcPr>
            <w:tcW w:w="46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hanging="332"/>
        <w:spacing w:after="0" w:line="282" w:lineRule="auto"/>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Deferred revenues include contract liabilities, advance from customers, and refund liability of individual online learning services included in “accrued expenses and other current liabilities.”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 /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QUANTASING GROUP LIMITED</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 RECONCILIATION OF GAAP AND NON-GAAP RESULTS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for shares and per share data)</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below sets forth a reconciliation of net (loss)/income to adjusted net income/(loss) and basic and diluted net (loss)/income per ordinary share to basic and diluted adjusted net income/(loss) per ordinary share for the periods indicated:</w:t>
      </w:r>
    </w:p>
    <w:p>
      <w:pPr>
        <w:sectPr>
          <w:pgSz w:w="11900" w:h="16838" w:orient="portrait"/>
          <w:cols w:equalWidth="0" w:num="1">
            <w:col w:w="11240"/>
          </w:cols>
          <w:pgMar w:left="320" w:top="90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(loss)/income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 Share-based compensation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Adjusted net income/(loss)</w:t>
      </w:r>
    </w:p>
    <w:p>
      <w:pPr>
        <w:spacing w:after="0" w:line="31" w:lineRule="exact"/>
        <w:rPr>
          <w:sz w:val="20"/>
          <w:szCs w:val="20"/>
          <w:color w:val="auto"/>
        </w:rPr>
      </w:pPr>
    </w:p>
    <w:p>
      <w:pPr>
        <w:ind w:left="100" w:right="200"/>
        <w:spacing w:after="0" w:line="268" w:lineRule="auto"/>
        <w:rPr>
          <w:sz w:val="20"/>
          <w:szCs w:val="20"/>
          <w:color w:val="auto"/>
        </w:rPr>
      </w:pPr>
      <w:r>
        <w:rPr>
          <w:rFonts w:ascii="Times New Roman" w:cs="Times New Roman" w:eastAsia="Times New Roman" w:hAnsi="Times New Roman"/>
          <w:sz w:val="17"/>
          <w:szCs w:val="17"/>
          <w:color w:val="auto"/>
        </w:rPr>
        <w:t>Accretion of the Company’s preferred shares Income allocation to participating preferred shares</w:t>
      </w:r>
    </w:p>
    <w:p>
      <w:pPr>
        <w:spacing w:after="0" w:line="286" w:lineRule="auto"/>
        <w:rPr>
          <w:sz w:val="20"/>
          <w:szCs w:val="20"/>
          <w:color w:val="auto"/>
        </w:rPr>
      </w:pPr>
      <w:r>
        <w:rPr>
          <w:rFonts w:ascii="Times New Roman" w:cs="Times New Roman" w:eastAsia="Times New Roman" w:hAnsi="Times New Roman"/>
          <w:sz w:val="18"/>
          <w:szCs w:val="18"/>
          <w:b w:val="1"/>
          <w:bCs w:val="1"/>
          <w:color w:val="auto"/>
        </w:rPr>
        <w:t>Adjusted net income/(loss) attributable to ordinary shareholders of QuantaSing Group Limited</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680" w:type="dxa"/>
            <w:vAlign w:val="bottom"/>
            <w:gridSpan w:val="5"/>
          </w:tcPr>
          <w:p>
            <w:pPr>
              <w:jc w:val="center"/>
              <w:ind w:left="690"/>
              <w:spacing w:after="0"/>
              <w:rPr>
                <w:sz w:val="20"/>
                <w:szCs w:val="20"/>
                <w:color w:val="auto"/>
              </w:rPr>
            </w:pPr>
            <w:r>
              <w:rPr>
                <w:rFonts w:ascii="Times New Roman" w:cs="Times New Roman" w:eastAsia="Times New Roman" w:hAnsi="Times New Roman"/>
                <w:sz w:val="18"/>
                <w:szCs w:val="18"/>
                <w:b w:val="1"/>
                <w:bCs w:val="1"/>
                <w:color w:val="auto"/>
                <w:w w:val="99"/>
              </w:rPr>
              <w:t>For the Three Months</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w w:val="99"/>
              </w:rPr>
              <w:t>For Nine Months</w:t>
            </w: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45"/>
        </w:trPr>
        <w:tc>
          <w:tcPr>
            <w:tcW w:w="100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gridSpan w:val="4"/>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Ended March 31,</w:t>
            </w:r>
          </w:p>
        </w:tc>
        <w:tc>
          <w:tcPr>
            <w:tcW w:w="78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Ended March 31,</w:t>
            </w:r>
          </w:p>
        </w:tc>
        <w:tc>
          <w:tcPr>
            <w:tcW w:w="102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r>
      <w:tr>
        <w:trPr>
          <w:trHeight w:val="237"/>
        </w:trPr>
        <w:tc>
          <w:tcPr>
            <w:tcW w:w="100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9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20"/>
                <w:szCs w:val="20"/>
                <w:color w:val="auto"/>
              </w:rPr>
            </w:pPr>
          </w:p>
        </w:tc>
        <w:tc>
          <w:tcPr>
            <w:tcW w:w="114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102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Pr>
          <w:p>
            <w:pPr>
              <w:spacing w:after="0"/>
              <w:rPr>
                <w:sz w:val="20"/>
                <w:szCs w:val="20"/>
                <w:color w:val="auto"/>
              </w:rPr>
            </w:pPr>
          </w:p>
        </w:tc>
      </w:tr>
      <w:tr>
        <w:trPr>
          <w:trHeight w:val="238"/>
        </w:trPr>
        <w:tc>
          <w:tcPr>
            <w:tcW w:w="10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220" w:type="dxa"/>
            <w:vAlign w:val="bottom"/>
          </w:tcPr>
          <w:p>
            <w:pPr>
              <w:spacing w:after="0"/>
              <w:rPr>
                <w:sz w:val="20"/>
                <w:szCs w:val="20"/>
                <w:color w:val="auto"/>
              </w:rPr>
            </w:pPr>
          </w:p>
        </w:tc>
        <w:tc>
          <w:tcPr>
            <w:tcW w:w="10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2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US$</w:t>
            </w:r>
          </w:p>
        </w:tc>
        <w:tc>
          <w:tcPr>
            <w:tcW w:w="220" w:type="dxa"/>
            <w:vAlign w:val="bottom"/>
          </w:tcPr>
          <w:p>
            <w:pPr>
              <w:spacing w:after="0"/>
              <w:rPr>
                <w:sz w:val="20"/>
                <w:szCs w:val="20"/>
                <w:color w:val="auto"/>
              </w:rPr>
            </w:pPr>
          </w:p>
        </w:tc>
        <w:tc>
          <w:tcPr>
            <w:tcW w:w="92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RMB</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220" w:type="dxa"/>
            <w:vAlign w:val="bottom"/>
          </w:tcPr>
          <w:p>
            <w:pPr>
              <w:spacing w:after="0"/>
              <w:rPr>
                <w:sz w:val="20"/>
                <w:szCs w:val="20"/>
                <w:color w:val="auto"/>
              </w:rPr>
            </w:pPr>
          </w:p>
        </w:tc>
        <w:tc>
          <w:tcPr>
            <w:tcW w:w="102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US$</w:t>
            </w:r>
          </w:p>
        </w:tc>
        <w:tc>
          <w:tcPr>
            <w:tcW w:w="20" w:type="dxa"/>
            <w:vAlign w:val="bottom"/>
          </w:tcPr>
          <w:p>
            <w:pPr>
              <w:spacing w:after="0"/>
              <w:rPr>
                <w:sz w:val="20"/>
                <w:szCs w:val="20"/>
                <w:color w:val="auto"/>
              </w:rPr>
            </w:pPr>
          </w:p>
        </w:tc>
      </w:tr>
      <w:tr>
        <w:trPr>
          <w:trHeight w:val="391"/>
        </w:trPr>
        <w:tc>
          <w:tcPr>
            <w:tcW w:w="12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(22,663)</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14,630</w:t>
            </w:r>
          </w:p>
        </w:tc>
        <w:tc>
          <w:tcPr>
            <w:tcW w:w="240" w:type="dxa"/>
            <w:vAlign w:val="bottom"/>
          </w:tcPr>
          <w:p>
            <w:pPr>
              <w:spacing w:after="0"/>
              <w:rPr>
                <w:sz w:val="24"/>
                <w:szCs w:val="24"/>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2,026</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(161,342)</w:t>
            </w:r>
          </w:p>
        </w:tc>
        <w:tc>
          <w:tcPr>
            <w:tcW w:w="13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188,920</w:t>
            </w: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26,165</w:t>
            </w:r>
          </w:p>
        </w:tc>
      </w:tr>
      <w:tr>
        <w:trPr>
          <w:trHeight w:val="234"/>
        </w:trPr>
        <w:tc>
          <w:tcPr>
            <w:tcW w:w="12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44,359</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17,295</w:t>
            </w:r>
          </w:p>
        </w:tc>
        <w:tc>
          <w:tcPr>
            <w:tcW w:w="24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2,395</w:t>
            </w: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153,893</w:t>
            </w:r>
          </w:p>
        </w:tc>
        <w:tc>
          <w:tcPr>
            <w:tcW w:w="13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40,839</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5,656</w:t>
            </w:r>
          </w:p>
        </w:tc>
        <w:tc>
          <w:tcPr>
            <w:tcW w:w="20" w:type="dxa"/>
            <w:vAlign w:val="bottom"/>
          </w:tcPr>
          <w:p>
            <w:pPr>
              <w:spacing w:after="0"/>
              <w:rPr>
                <w:sz w:val="20"/>
                <w:szCs w:val="20"/>
                <w:color w:val="auto"/>
              </w:rPr>
            </w:pPr>
          </w:p>
        </w:tc>
      </w:tr>
      <w:tr>
        <w:trPr>
          <w:trHeight w:val="414"/>
        </w:trPr>
        <w:tc>
          <w:tcPr>
            <w:tcW w:w="12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21,696</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31,925</w:t>
            </w:r>
          </w:p>
        </w:tc>
        <w:tc>
          <w:tcPr>
            <w:tcW w:w="240" w:type="dxa"/>
            <w:vAlign w:val="bottom"/>
          </w:tcPr>
          <w:p>
            <w:pPr>
              <w:spacing w:after="0"/>
              <w:rPr>
                <w:sz w:val="24"/>
                <w:szCs w:val="24"/>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4,421</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(7,449)</w:t>
            </w:r>
          </w:p>
        </w:tc>
        <w:tc>
          <w:tcPr>
            <w:tcW w:w="13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229,759</w:t>
            </w: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31,821</w:t>
            </w:r>
          </w:p>
        </w:tc>
      </w:tr>
      <w:tr>
        <w:trPr>
          <w:trHeight w:val="216"/>
        </w:trPr>
        <w:tc>
          <w:tcPr>
            <w:tcW w:w="12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(2,867)</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(22,379)</w:t>
            </w:r>
          </w:p>
        </w:tc>
        <w:tc>
          <w:tcPr>
            <w:tcW w:w="13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r>
      <w:tr>
        <w:trPr>
          <w:trHeight w:val="248"/>
        </w:trPr>
        <w:tc>
          <w:tcPr>
            <w:tcW w:w="12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(3,431)</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r>
      <w:tr>
        <w:trPr>
          <w:trHeight w:val="27"/>
        </w:trPr>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r>
      <w:tr>
        <w:trPr>
          <w:trHeight w:val="466"/>
        </w:trPr>
        <w:tc>
          <w:tcPr>
            <w:tcW w:w="12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15,398</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31,925</w:t>
            </w:r>
          </w:p>
        </w:tc>
        <w:tc>
          <w:tcPr>
            <w:tcW w:w="240" w:type="dxa"/>
            <w:vAlign w:val="bottom"/>
          </w:tcPr>
          <w:p>
            <w:pPr>
              <w:spacing w:after="0"/>
              <w:rPr>
                <w:sz w:val="24"/>
                <w:szCs w:val="24"/>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4,421</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(29,828)</w:t>
            </w:r>
          </w:p>
        </w:tc>
        <w:tc>
          <w:tcPr>
            <w:tcW w:w="13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229,759</w:t>
            </w: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31,821</w:t>
            </w:r>
          </w:p>
        </w:tc>
      </w:tr>
      <w:tr>
        <w:trPr>
          <w:trHeight w:val="21"/>
        </w:trPr>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-2585085</wp:posOffset>
            </wp:positionH>
            <wp:positionV relativeFrom="paragraph">
              <wp:posOffset>-1182370</wp:posOffset>
            </wp:positionV>
            <wp:extent cx="713232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-2585085</wp:posOffset>
            </wp:positionH>
            <wp:positionV relativeFrom="paragraph">
              <wp:posOffset>-908050</wp:posOffset>
            </wp:positionV>
            <wp:extent cx="713232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-2585085</wp:posOffset>
            </wp:positionH>
            <wp:positionV relativeFrom="paragraph">
              <wp:posOffset>-633730</wp:posOffset>
            </wp:positionV>
            <wp:extent cx="713232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-2585085</wp:posOffset>
            </wp:positionH>
            <wp:positionV relativeFrom="paragraph">
              <wp:posOffset>-342265</wp:posOffset>
            </wp:positionV>
            <wp:extent cx="7132320" cy="3168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31686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920" w:space="160"/>
            <w:col w:w="7160"/>
          </w:cols>
          <w:pgMar w:left="320" w:top="900" w:right="339" w:bottom="1440" w:gutter="0" w:footer="0" w:header="0"/>
          <w:type w:val="continuous"/>
        </w:sectPr>
      </w:pP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Weighted average number of ordinary shares used</w:t>
            </w:r>
          </w:p>
        </w:tc>
        <w:tc>
          <w:tcPr>
            <w:tcW w:w="11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38"/>
        </w:trPr>
        <w:tc>
          <w:tcPr>
            <w:tcW w:w="4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in computing net (loss)/income per ordinary share</w:t>
            </w:r>
          </w:p>
        </w:tc>
        <w:tc>
          <w:tcPr>
            <w:tcW w:w="11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r>
      <w:tr>
        <w:trPr>
          <w:trHeight w:val="216"/>
        </w:trPr>
        <w:tc>
          <w:tcPr>
            <w:tcW w:w="4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Basic</w:t>
            </w:r>
          </w:p>
        </w:tc>
        <w:tc>
          <w:tcPr>
            <w:tcW w:w="11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135,768,739</w:t>
            </w:r>
          </w:p>
        </w:tc>
        <w:tc>
          <w:tcPr>
            <w:tcW w:w="12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164,753,256</w:t>
            </w:r>
          </w:p>
        </w:tc>
        <w:tc>
          <w:tcPr>
            <w:tcW w:w="12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164,753,256</w:t>
            </w:r>
          </w:p>
        </w:tc>
        <w:tc>
          <w:tcPr>
            <w:tcW w:w="11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82,295,042</w:t>
            </w:r>
          </w:p>
        </w:tc>
        <w:tc>
          <w:tcPr>
            <w:tcW w:w="12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166,399,349</w:t>
            </w: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166,399,349</w:t>
            </w:r>
          </w:p>
        </w:tc>
      </w:tr>
      <w:tr>
        <w:trPr>
          <w:trHeight w:val="216"/>
        </w:trPr>
        <w:tc>
          <w:tcPr>
            <w:tcW w:w="40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 Diluted</w:t>
            </w:r>
          </w:p>
        </w:tc>
        <w:tc>
          <w:tcPr>
            <w:tcW w:w="11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135,768,739</w:t>
            </w:r>
          </w:p>
        </w:tc>
        <w:tc>
          <w:tcPr>
            <w:tcW w:w="12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170,890,581</w:t>
            </w:r>
          </w:p>
        </w:tc>
        <w:tc>
          <w:tcPr>
            <w:tcW w:w="12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170,890,581</w:t>
            </w:r>
          </w:p>
        </w:tc>
        <w:tc>
          <w:tcPr>
            <w:tcW w:w="11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82,295,042</w:t>
            </w:r>
          </w:p>
        </w:tc>
        <w:tc>
          <w:tcPr>
            <w:tcW w:w="12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171,089,530</w:t>
            </w:r>
          </w:p>
        </w:tc>
        <w:tc>
          <w:tcPr>
            <w:tcW w:w="1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171,089,530</w:t>
            </w:r>
          </w:p>
        </w:tc>
      </w:tr>
      <w:tr>
        <w:trPr>
          <w:trHeight w:val="194"/>
        </w:trPr>
        <w:tc>
          <w:tcPr>
            <w:tcW w:w="408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Weighted average number of ordinary shares used</w:t>
            </w:r>
          </w:p>
        </w:tc>
        <w:tc>
          <w:tcPr>
            <w:tcW w:w="1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16"/>
        </w:trPr>
        <w:tc>
          <w:tcPr>
            <w:tcW w:w="4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 computing adjusted net income/(loss) per</w:t>
            </w:r>
          </w:p>
        </w:tc>
        <w:tc>
          <w:tcPr>
            <w:tcW w:w="1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38"/>
        </w:trPr>
        <w:tc>
          <w:tcPr>
            <w:tcW w:w="4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ordinary share</w:t>
            </w:r>
          </w:p>
        </w:tc>
        <w:tc>
          <w:tcPr>
            <w:tcW w:w="11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16"/>
        </w:trPr>
        <w:tc>
          <w:tcPr>
            <w:tcW w:w="40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 Basic</w:t>
            </w:r>
          </w:p>
        </w:tc>
        <w:tc>
          <w:tcPr>
            <w:tcW w:w="11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135,768,739</w:t>
            </w:r>
          </w:p>
        </w:tc>
        <w:tc>
          <w:tcPr>
            <w:tcW w:w="12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164,753,256</w:t>
            </w:r>
          </w:p>
        </w:tc>
        <w:tc>
          <w:tcPr>
            <w:tcW w:w="12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164,753,256</w:t>
            </w:r>
          </w:p>
        </w:tc>
        <w:tc>
          <w:tcPr>
            <w:tcW w:w="11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82,295,042</w:t>
            </w:r>
          </w:p>
        </w:tc>
        <w:tc>
          <w:tcPr>
            <w:tcW w:w="12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166,399,349</w:t>
            </w:r>
          </w:p>
        </w:tc>
        <w:tc>
          <w:tcPr>
            <w:tcW w:w="1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166,399,349</w:t>
            </w:r>
          </w:p>
        </w:tc>
      </w:tr>
      <w:tr>
        <w:trPr>
          <w:trHeight w:val="216"/>
        </w:trPr>
        <w:tc>
          <w:tcPr>
            <w:tcW w:w="4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Diluted</w:t>
            </w:r>
          </w:p>
        </w:tc>
        <w:tc>
          <w:tcPr>
            <w:tcW w:w="11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142,354,949</w:t>
            </w:r>
          </w:p>
        </w:tc>
        <w:tc>
          <w:tcPr>
            <w:tcW w:w="12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170,890,581</w:t>
            </w:r>
          </w:p>
        </w:tc>
        <w:tc>
          <w:tcPr>
            <w:tcW w:w="12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170,890,581</w:t>
            </w:r>
          </w:p>
        </w:tc>
        <w:tc>
          <w:tcPr>
            <w:tcW w:w="11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82,295,042</w:t>
            </w:r>
          </w:p>
        </w:tc>
        <w:tc>
          <w:tcPr>
            <w:tcW w:w="12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171,089,530</w:t>
            </w: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171,089,530</w:t>
            </w:r>
          </w:p>
        </w:tc>
      </w:tr>
      <w:tr>
        <w:trPr>
          <w:trHeight w:val="216"/>
        </w:trPr>
        <w:tc>
          <w:tcPr>
            <w:tcW w:w="40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16"/>
        </w:trPr>
        <w:tc>
          <w:tcPr>
            <w:tcW w:w="4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(loss)/income per ordinary share</w:t>
            </w:r>
          </w:p>
        </w:tc>
        <w:tc>
          <w:tcPr>
            <w:tcW w:w="1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40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 Basic</w:t>
            </w:r>
          </w:p>
        </w:tc>
        <w:tc>
          <w:tcPr>
            <w:tcW w:w="1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(0.19)</w:t>
            </w:r>
          </w:p>
        </w:tc>
        <w:tc>
          <w:tcPr>
            <w:tcW w:w="12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0.09</w:t>
            </w:r>
          </w:p>
        </w:tc>
        <w:tc>
          <w:tcPr>
            <w:tcW w:w="12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0.01</w:t>
            </w:r>
          </w:p>
        </w:tc>
        <w:tc>
          <w:tcPr>
            <w:tcW w:w="1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(2.23)</w:t>
            </w:r>
          </w:p>
        </w:tc>
        <w:tc>
          <w:tcPr>
            <w:tcW w:w="12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1.14</w:t>
            </w:r>
          </w:p>
        </w:tc>
        <w:tc>
          <w:tcPr>
            <w:tcW w:w="1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0.16</w:t>
            </w:r>
          </w:p>
        </w:tc>
      </w:tr>
      <w:tr>
        <w:trPr>
          <w:trHeight w:val="216"/>
        </w:trPr>
        <w:tc>
          <w:tcPr>
            <w:tcW w:w="4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Diluted</w:t>
            </w: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(0.19)</w:t>
            </w:r>
          </w:p>
        </w:tc>
        <w:tc>
          <w:tcPr>
            <w:tcW w:w="12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0.09</w:t>
            </w:r>
          </w:p>
        </w:tc>
        <w:tc>
          <w:tcPr>
            <w:tcW w:w="12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0.01</w:t>
            </w: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(2.23)</w:t>
            </w:r>
          </w:p>
        </w:tc>
        <w:tc>
          <w:tcPr>
            <w:tcW w:w="12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1.10</w:t>
            </w: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0.15</w:t>
            </w:r>
          </w:p>
        </w:tc>
      </w:tr>
      <w:tr>
        <w:trPr>
          <w:trHeight w:val="194"/>
        </w:trPr>
        <w:tc>
          <w:tcPr>
            <w:tcW w:w="408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Non-GAAP adjustments to net (loss)/income per</w:t>
            </w:r>
          </w:p>
        </w:tc>
        <w:tc>
          <w:tcPr>
            <w:tcW w:w="11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r>
      <w:tr>
        <w:trPr>
          <w:trHeight w:val="238"/>
        </w:trPr>
        <w:tc>
          <w:tcPr>
            <w:tcW w:w="4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ordinary share</w:t>
            </w:r>
          </w:p>
        </w:tc>
        <w:tc>
          <w:tcPr>
            <w:tcW w:w="11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r>
      <w:tr>
        <w:trPr>
          <w:trHeight w:val="216"/>
        </w:trPr>
        <w:tc>
          <w:tcPr>
            <w:tcW w:w="4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Basic</w:t>
            </w:r>
          </w:p>
        </w:tc>
        <w:tc>
          <w:tcPr>
            <w:tcW w:w="11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0.30</w:t>
            </w:r>
          </w:p>
        </w:tc>
        <w:tc>
          <w:tcPr>
            <w:tcW w:w="12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0.10</w:t>
            </w:r>
          </w:p>
        </w:tc>
        <w:tc>
          <w:tcPr>
            <w:tcW w:w="12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0.02</w:t>
            </w:r>
          </w:p>
        </w:tc>
        <w:tc>
          <w:tcPr>
            <w:tcW w:w="11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1.87</w:t>
            </w:r>
          </w:p>
        </w:tc>
        <w:tc>
          <w:tcPr>
            <w:tcW w:w="12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0.24</w:t>
            </w: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0.03</w:t>
            </w:r>
          </w:p>
        </w:tc>
      </w:tr>
      <w:tr>
        <w:trPr>
          <w:trHeight w:val="216"/>
        </w:trPr>
        <w:tc>
          <w:tcPr>
            <w:tcW w:w="40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 Diluted</w:t>
            </w:r>
          </w:p>
        </w:tc>
        <w:tc>
          <w:tcPr>
            <w:tcW w:w="11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0.30</w:t>
            </w:r>
          </w:p>
        </w:tc>
        <w:tc>
          <w:tcPr>
            <w:tcW w:w="12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0.10</w:t>
            </w:r>
          </w:p>
        </w:tc>
        <w:tc>
          <w:tcPr>
            <w:tcW w:w="12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0.02</w:t>
            </w:r>
          </w:p>
        </w:tc>
        <w:tc>
          <w:tcPr>
            <w:tcW w:w="11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1.87</w:t>
            </w:r>
          </w:p>
        </w:tc>
        <w:tc>
          <w:tcPr>
            <w:tcW w:w="12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0.24</w:t>
            </w:r>
          </w:p>
        </w:tc>
        <w:tc>
          <w:tcPr>
            <w:tcW w:w="1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0.04</w:t>
            </w:r>
          </w:p>
        </w:tc>
      </w:tr>
      <w:tr>
        <w:trPr>
          <w:trHeight w:val="216"/>
        </w:trPr>
        <w:tc>
          <w:tcPr>
            <w:tcW w:w="4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Adjusted net income/(loss) per ordinary share</w:t>
            </w:r>
          </w:p>
        </w:tc>
        <w:tc>
          <w:tcPr>
            <w:tcW w:w="1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40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 Basic</w:t>
            </w:r>
          </w:p>
        </w:tc>
        <w:tc>
          <w:tcPr>
            <w:tcW w:w="11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0.11</w:t>
            </w:r>
          </w:p>
        </w:tc>
        <w:tc>
          <w:tcPr>
            <w:tcW w:w="12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0.19</w:t>
            </w:r>
          </w:p>
        </w:tc>
        <w:tc>
          <w:tcPr>
            <w:tcW w:w="12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0.03</w:t>
            </w:r>
          </w:p>
        </w:tc>
        <w:tc>
          <w:tcPr>
            <w:tcW w:w="1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(0.36)</w:t>
            </w:r>
          </w:p>
        </w:tc>
        <w:tc>
          <w:tcPr>
            <w:tcW w:w="12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1.38</w:t>
            </w:r>
          </w:p>
        </w:tc>
        <w:tc>
          <w:tcPr>
            <w:tcW w:w="1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0.19</w:t>
            </w:r>
          </w:p>
        </w:tc>
      </w:tr>
      <w:tr>
        <w:trPr>
          <w:trHeight w:val="234"/>
        </w:trPr>
        <w:tc>
          <w:tcPr>
            <w:tcW w:w="4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Diluted</w:t>
            </w:r>
          </w:p>
        </w:tc>
        <w:tc>
          <w:tcPr>
            <w:tcW w:w="11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0.11</w:t>
            </w:r>
          </w:p>
        </w:tc>
        <w:tc>
          <w:tcPr>
            <w:tcW w:w="12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0.19</w:t>
            </w:r>
          </w:p>
        </w:tc>
        <w:tc>
          <w:tcPr>
            <w:tcW w:w="12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0.03</w:t>
            </w: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(0.36)</w:t>
            </w:r>
          </w:p>
        </w:tc>
        <w:tc>
          <w:tcPr>
            <w:tcW w:w="12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1.34</w:t>
            </w: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0.19</w:t>
            </w:r>
          </w:p>
        </w:tc>
      </w:tr>
      <w:tr>
        <w:trPr>
          <w:trHeight w:val="637"/>
        </w:trPr>
        <w:tc>
          <w:tcPr>
            <w:tcW w:w="40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10 / 10</w:t>
            </w:r>
          </w:p>
        </w:tc>
        <w:tc>
          <w:tcPr>
            <w:tcW w:w="12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type w:val="continuous"/>
        </w:sectPr>
      </w:pPr>
    </w:p>
    <w:bookmarkStart w:id="13" w:name="page14"/>
    <w:bookmarkEnd w:id="13"/>
    <w:p>
      <w:pPr>
        <w:jc w:val="right"/>
        <w:spacing w:after="0"/>
        <w:rPr>
          <w:sz w:val="20"/>
          <w:szCs w:val="20"/>
          <w:color w:val="auto"/>
        </w:rPr>
      </w:pPr>
      <w:r>
        <w:rPr>
          <w:rFonts w:ascii="Times New Roman" w:cs="Times New Roman" w:eastAsia="Times New Roman" w:hAnsi="Times New Roman"/>
          <w:sz w:val="22"/>
          <w:szCs w:val="22"/>
          <w:b w:val="1"/>
          <w:bCs w:val="1"/>
          <w:color w:val="auto"/>
        </w:rPr>
        <w:t>Exhibit 99.2</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QuantaSing Announces Changes in Composition of Board and Management</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Beijing, June 6, 2024 /GLOBE NEWSWIRE/ - QuantaSing Group Limited (NASDAQ: QSG) (“QuantaSing” or the “Company”), a leading online learning service provider in China, today announced changes in the composition of its board of directors (the “Board”) and management.</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received a letter of resignation dated June 5, 2024 from Mr. Jinshan Li, notifying the Company of his resignation as a director effective upon June 5, 2024 and the chief technology officer effective upon June 30, 2024, for personal reasons not resulting from any disagreement with the Company on any matter relating to the Company’s operations, policies or practice.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Mr. Jinshan Li has been a valued member of the executive team and has contributed significantly to the Company’s achievements during his tenure. The decision to resign comes after Mr. Jinshan Li had decided to pursue new opportunities that align with his professional aspirations. The Company respects his decision and wishes him the best in his future endeavors.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Following the foregoing changes, Mr. Peng Li, Mr. Dong Xie and Ms. Xihao Liu will continue to serve as the chief executive officer, chief financial officer and senior vice president of the Company, respectively. The Board will consist of four directors, including Mr. Peng Li, Mr. Frank Lin, Mr. Dong Xie and Ms. Xihao Liu, and three independent directors, namely Mr. Hongqiang Zhao, Ms. Pei Hua (Helen) Wong and Mr. Chenyang Wei.</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 Statements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announcement contains forward-looking statements within the meaning of Section 27A of Securities Act of 1933, as amended and Section 21E of the Securities Exchange Act of 1934, as amended and the Private Securities Litigation Reform Act of 1955. All statements other than statements of historical or current fact included in this press release are forward-looking statements, including but not limited to statements regarding QuantaSing’s financial outlook, beliefs and expectations. These statements can be identified by terminology such as “will,” “expects,” “anticipates,” “future,” “intends,” “plans,” “believes,” “estimates,” “potential,” “continue,” “ongoing,” “targets,” “guidance” and similar statements. Among other things, the Financial Outlook in this announcement contains forward-looking statements. The Company may also make written or oral forward-looking statements in its periodic reports to the U.S. Securities and Exchange Commission (the “SEC”), in its annual report to shareholders, in press releases, and other written materials and in oral statements made by its officers, directors or employees to third parties. Forward-looking statements involve inherent risks and uncertainties. A number of factors could cause actual results to differ materially from those contained in any forward-looking statement, including but not limited to the following: the Company’s growth strategies; its future business development, results of operations and financial condition; its ability to attract and retain new users and learners and to increase the spending and revenues generated from users and learners; its ability to maintain and enhance the recognition and reputation of its brand; its expectations regarding demand for and market acceptance of its services and products; trends and competition in China’s adult learning market; changes in its revenues and certain cost or expense items; the expected growth of China’s adult learning market; PRC governmental policies and regulations relating to the Company’s business and industry, general economic and political conditions in China and globally, and assumptions underlying or related to any of the foregoing. Further information regarding these and other risks, uncertainties, or factors is included in the Company’s filings with the SEC, including, without limitation, the final prospectus related to the IPO filed with the SEC dated January 24, 2023. You are cautioned not to place undue reliance on these forward-looking statements, which speak only as of the date this press release. All forward-looking statements are qualified in their entirety by this cautionary statement, and the Company undertakes no obligation to revise or update any forward-looking statements to reflect events or circumstances after the date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424180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About QuantaSing Group Limited</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QuantaSing is a leading online service provider in China dedicated to improving people’s quality of life and well-being by providing lifelong personal learning and development opportunities. The Company is the largest service provider in China’s online adult learning market and China’s adult personal interest learning market in terms of revenue, according to a report by Frost &amp; Sullivan based on data from 2022. By leveraging its proprietary tools and technology, QuantaSing offers easy-to-understand, affordable, and accessible online courses to adult learners, empowering users to pursue personal development. Leveraging its extensive experience in individual online learning services and its robust technology infrastructure, the Company has expanded its services to corporate clients, and diversified its operations into its e-commerce business and its AI and technology business.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more information, please visit: https://ir.quantasing.com.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Leah Guo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QuantaSing Group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ir@quantasing.com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+86 (10) 6493-7857</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Robin Yang, Partner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ICR,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QuantaSing.IR@icrinc.com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Phone: +1 (212) 537-0429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451485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1"/>
      <w:numFmt w:val="bullet"/>
      <w:start w:val="1"/>
    </w:lvl>
  </w:abstractNum>
  <w:abstractNum w:abstractNumId="2">
    <w:nsid w:val="46E87CCD"/>
    <w:multiLevelType w:val="hybridMultilevel"/>
    <w:lvl w:ilvl="0">
      <w:lvlJc w:val="left"/>
      <w:lvlText w:val="2"/>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3"/>
      <w:numFmt w:val="bullet"/>
      <w:start w:val="1"/>
    </w:lvl>
  </w:abstractNum>
  <w:abstractNum w:abstractNumId="5">
    <w:nsid w:val="2EB141F2"/>
    <w:multiLevelType w:val="hybridMultilevel"/>
    <w:lvl w:ilvl="0">
      <w:lvlJc w:val="left"/>
      <w:lvlText w:val="4"/>
      <w:numFmt w:val="bullet"/>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2024-06-06T05:12:11Z</dcterms:created>
  <dcterms:modified xsi:type="dcterms:W3CDTF">2024-06-06T05:12:11Z</dcterms:modified>
</cp:coreProperties>
</file>